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jc w:val="center"/>
      </w:pPr>
      <w:r>
        <w:rPr>
          <w:rFonts w:ascii="Arial" w:cs="Arial" w:eastAsia="Arial" w:hAnsi="Arial"/>
          <w:b/>
          <w:bCs/>
          <w:color w:val="1F4E79"/>
          <w:sz w:val="72"/>
          <w:szCs w:val="72"/>
        </w:rPr>
        <w:t xml:space="preserve">ANIMEX</w:t>
      </w:r>
    </w:p>
    <w:p>
      <w:pPr>
        <w:spacing w:after="80" w:before="0"/>
        <w:jc w:val="center"/>
      </w:pPr>
      <w:r>
        <w:rPr>
          <w:rFonts w:ascii="Arial" w:cs="Arial" w:eastAsia="Arial" w:hAnsi="Arial"/>
          <w:b/>
          <w:bCs/>
          <w:color w:val="1A1A1A"/>
          <w:sz w:val="40"/>
          <w:szCs w:val="40"/>
        </w:rPr>
        <w:t xml:space="preserve">PLATFORM TECHNICAL &amp; SECURITY PACK</w:t>
      </w:r>
    </w:p>
    <w:p>
      <w:pPr>
        <w:spacing w:after="60" w:before="0"/>
        <w:jc w:val="center"/>
      </w:pPr>
      <w:r>
        <w:rPr>
          <w:rFonts w:ascii="Arial" w:cs="Arial" w:eastAsia="Arial" w:hAnsi="Arial"/>
          <w:i/>
          <w:iCs/>
          <w:color w:val="595959"/>
          <w:sz w:val="22"/>
          <w:szCs w:val="22"/>
        </w:rPr>
        <w:t xml:space="preserve">Security Policy · Change Management · Access Control · Pen Testing · Vulnerability Disclosure · Encryption · Secure SDLC · Audit Logging</w:t>
      </w:r>
    </w:p>
    <w:p>
      <w:pPr>
        <w:spacing w:after="60" w:before="0"/>
        <w:jc w:val="center"/>
      </w:pPr>
      <w:r>
        <w:rPr>
          <w:rFonts w:ascii="Arial" w:cs="Arial" w:eastAsia="Arial" w:hAnsi="Arial"/>
          <w:color w:val="595959"/>
          <w:sz w:val="20"/>
          <w:szCs w:val="20"/>
        </w:rPr>
        <w:t>animexofficial.co.za  |  Version 4.0  |  Effective Date: Pending approval/publication</w:t>
      </w:r>
    </w:p>
    <w:p>
      <w:pPr>
        <w:shd w:fill="FFF2CC" w:val="clear"/>
        <w:spacing w:after="80" w:before="80"/>
        <w:ind w:left="360" w:right="360"/>
      </w:pPr>
      <w:r>
        <w:rPr>
          <w:rFonts w:ascii="Arial" w:cs="Arial" w:eastAsia="Arial" w:hAnsi="Arial"/>
          <w:b/>
          <w:bCs/>
          <w:color w:val="7F6000"/>
          <w:sz w:val="20"/>
          <w:szCs w:val="20"/>
        </w:rPr>
        <w:t>ACTION REQUIRED: This Version 4.0 webapp-aligned draft must be approved through ANIMEX's legal, tax, security, and Control Room terms-versioning workflow before public use or contract execution.</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  Information Security Policy</w:t>
      </w:r>
    </w:p>
    <w:p>
      <w:pPr>
        <w:pStyle w:val="Heading2"/>
        <w:spacing w:after="120" w:before="280"/>
      </w:pPr>
      <w:r>
        <w:rPr>
          <w:rFonts w:ascii="Arial" w:cs="Arial" w:eastAsia="Arial" w:hAnsi="Arial"/>
          <w:b/>
          <w:bCs/>
          <w:color w:val="1A1A1A"/>
          <w:sz w:val="26"/>
          <w:szCs w:val="26"/>
        </w:rPr>
        <w:t xml:space="preserve">1.1  Purpose and Scope</w:t>
      </w:r>
    </w:p>
    <w:p>
      <w:pPr>
        <w:spacing w:after="80" w:before="80"/>
      </w:pPr>
      <w:r>
        <w:rPr>
          <w:rFonts w:ascii="Arial" w:cs="Arial" w:eastAsia="Arial" w:hAnsi="Arial"/>
          <w:color w:val="1A1A1A"/>
          <w:sz w:val="22"/>
          <w:szCs w:val="22"/>
        </w:rPr>
        <w:t xml:space="preserve">This policy establishes ANIMEX's overarching information security framework. It applies to all systems, data, infrastructure, Staff, contractors, and third-party operators that access, process, store, or transmit ANIMEX's information assets, including User personal information, payment data, platform code, and business data.</w:t>
      </w:r>
    </w:p>
    <w:p>
      <w:pPr>
        <w:spacing w:after="80" w:before="80"/>
      </w:pPr>
      <w:r>
        <w:rPr>
          <w:rFonts w:ascii="Arial" w:cs="Arial" w:eastAsia="Arial" w:hAnsi="Arial"/>
          <w:color w:val="1A1A1A"/>
          <w:sz w:val="22"/>
          <w:szCs w:val="22"/>
        </w:rPr>
        <w:t xml:space="preserve">This policy is read together with the Admin and Staff AUP (Compliance Pack, Section 4), the Data Breach Response Plan (Compliance Pack, Section 5), the Vendor Risk Management Policy (Governance Pack, Section 2), and the Business Continuity Policy (Governance Pack, Section 1).</w:t>
      </w:r>
    </w:p>
    <w:p>
      <w:pPr>
        <w:pStyle w:val="Heading2"/>
        <w:spacing w:after="120" w:before="280"/>
      </w:pPr>
      <w:r>
        <w:rPr>
          <w:rFonts w:ascii="Arial" w:cs="Arial" w:eastAsia="Arial" w:hAnsi="Arial"/>
          <w:b/>
          <w:bCs/>
          <w:color w:val="1A1A1A"/>
          <w:sz w:val="26"/>
          <w:szCs w:val="26"/>
        </w:rPr>
        <w:t xml:space="preserve">1.2  Information Security Principles</w:t>
      </w:r>
    </w:p>
    <w:p>
      <w:pPr>
        <w:spacing w:after="80" w:before="80"/>
      </w:pPr>
      <w:r>
        <w:rPr>
          <w:rFonts w:ascii="Arial" w:cs="Arial" w:eastAsia="Arial" w:hAnsi="Arial"/>
          <w:color w:val="1A1A1A"/>
          <w:sz w:val="22"/>
          <w:szCs w:val="22"/>
        </w:rPr>
        <w:t xml:space="preserve">ANIMEX's information security programme is built on the following principles:</w:t>
      </w:r>
    </w:p>
    <w:p>
      <w:pPr>
        <w:pStyle w:val="ListParagraph"/>
        <w:numPr>
          <w:ilvl w:val="0"/>
          <w:numId w:val="2"/>
        </w:numPr>
        <w:spacing w:after="40" w:before="40"/>
      </w:pPr>
      <w:r>
        <w:rPr>
          <w:rFonts w:ascii="Arial" w:cs="Arial" w:eastAsia="Arial" w:hAnsi="Arial"/>
          <w:color w:val="1A1A1A"/>
          <w:sz w:val="22"/>
          <w:szCs w:val="22"/>
        </w:rPr>
        <w:t xml:space="preserve">Confidentiality: information is accessible only to those authorised to access it;</w:t>
      </w:r>
    </w:p>
    <w:p>
      <w:pPr>
        <w:pStyle w:val="ListParagraph"/>
        <w:numPr>
          <w:ilvl w:val="0"/>
          <w:numId w:val="2"/>
        </w:numPr>
        <w:spacing w:after="40" w:before="40"/>
      </w:pPr>
      <w:r>
        <w:rPr>
          <w:rFonts w:ascii="Arial" w:cs="Arial" w:eastAsia="Arial" w:hAnsi="Arial"/>
          <w:color w:val="1A1A1A"/>
          <w:sz w:val="22"/>
          <w:szCs w:val="22"/>
        </w:rPr>
        <w:t xml:space="preserve">Integrity: information is accurate, complete, and protected against unauthorised modification;</w:t>
      </w:r>
    </w:p>
    <w:p>
      <w:pPr>
        <w:pStyle w:val="ListParagraph"/>
        <w:numPr>
          <w:ilvl w:val="0"/>
          <w:numId w:val="2"/>
        </w:numPr>
        <w:spacing w:after="40" w:before="40"/>
      </w:pPr>
      <w:r>
        <w:rPr>
          <w:rFonts w:ascii="Arial" w:cs="Arial" w:eastAsia="Arial" w:hAnsi="Arial"/>
          <w:color w:val="1A1A1A"/>
          <w:sz w:val="22"/>
          <w:szCs w:val="22"/>
        </w:rPr>
        <w:t xml:space="preserve">Availability: information and systems are available to authorised users when needed, within the RTOs defined in the Business Continuity Policy;</w:t>
      </w:r>
    </w:p>
    <w:p>
      <w:pPr>
        <w:pStyle w:val="ListParagraph"/>
        <w:numPr>
          <w:ilvl w:val="0"/>
          <w:numId w:val="2"/>
        </w:numPr>
        <w:spacing w:after="40" w:before="40"/>
      </w:pPr>
      <w:r>
        <w:rPr>
          <w:rFonts w:ascii="Arial" w:cs="Arial" w:eastAsia="Arial" w:hAnsi="Arial"/>
          <w:color w:val="1A1A1A"/>
          <w:sz w:val="22"/>
          <w:szCs w:val="22"/>
        </w:rPr>
        <w:t xml:space="preserve">Least Privilege: every person and system is granted only the minimum access required for their specific function;</w:t>
      </w:r>
    </w:p>
    <w:p>
      <w:pPr>
        <w:pStyle w:val="ListParagraph"/>
        <w:numPr>
          <w:ilvl w:val="0"/>
          <w:numId w:val="2"/>
        </w:numPr>
        <w:spacing w:after="40" w:before="40"/>
      </w:pPr>
      <w:r>
        <w:rPr>
          <w:rFonts w:ascii="Arial" w:cs="Arial" w:eastAsia="Arial" w:hAnsi="Arial"/>
          <w:color w:val="1A1A1A"/>
          <w:sz w:val="22"/>
          <w:szCs w:val="22"/>
        </w:rPr>
        <w:t xml:space="preserve">Defence in Depth: multiple layers of security controls are applied so that no single failure results in a material compromise;</w:t>
      </w:r>
    </w:p>
    <w:p>
      <w:pPr>
        <w:pStyle w:val="ListParagraph"/>
        <w:numPr>
          <w:ilvl w:val="0"/>
          <w:numId w:val="2"/>
        </w:numPr>
        <w:spacing w:after="40" w:before="40"/>
      </w:pPr>
      <w:r>
        <w:rPr>
          <w:rFonts w:ascii="Arial" w:cs="Arial" w:eastAsia="Arial" w:hAnsi="Arial"/>
          <w:color w:val="1A1A1A"/>
          <w:sz w:val="22"/>
          <w:szCs w:val="22"/>
        </w:rPr>
        <w:t xml:space="preserve">Privacy by Design: privacy and data protection considerations are embedded in platform design and development from the outset.</w:t>
      </w:r>
    </w:p>
    <w:p>
      <w:pPr>
        <w:pStyle w:val="Heading2"/>
        <w:spacing w:after="120" w:before="280"/>
      </w:pPr>
      <w:r>
        <w:rPr>
          <w:rFonts w:ascii="Arial" w:cs="Arial" w:eastAsia="Arial" w:hAnsi="Arial"/>
          <w:b/>
          <w:bCs/>
          <w:color w:val="1A1A1A"/>
          <w:sz w:val="26"/>
          <w:szCs w:val="26"/>
        </w:rPr>
        <w:t xml:space="preserve">1.3  Asset Classification</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Classification</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Examples</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Controls Required</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Critical</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personal information, payment data, authentication credentials, private keys, audit logs, Secure Checkout transaction records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Encrypt at rest and in transit; access restricted to role with documented business need; MFA required; audit all access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Confidential</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Business strategy, financial data, source code, legal documents, compliance records, vendor contracts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Access restricted to ANIMEX Staff with need-to-know; not shared externally without NDA or legal authority</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Internal</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Internal operational data, staff communications, project management data, non-sensitive business records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Available to all Staff; not for external distribution without authorisation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Public</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Published policies, Platform marketing content, public-facing documentation</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No access restriction; review before publication for unintended disclosure</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1.4  Security Responsibilities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Role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Security Responsibility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CEO</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Overall accountability for information security; approves security budget; receives quarterly security reports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CTO / Lead Developer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Operational responsibility for technical security; implements and monitors controls; leads incident response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Information Officer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POPIA compliance oversight; data breach notification authority; data subject rights coordination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All Staff</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Comply with this policy and all security procedures; report incidents within 1 hour; complete annual training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External Legal Adviser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Legal guidance on breach notification, regulatory response, and contractual security obligations</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1.5  Security Risk Management</w:t>
      </w:r>
    </w:p>
    <w:p>
      <w:pPr>
        <w:spacing w:after="80" w:before="80"/>
      </w:pPr>
      <w:r>
        <w:rPr>
          <w:rFonts w:ascii="Arial" w:cs="Arial" w:eastAsia="Arial" w:hAnsi="Arial"/>
          <w:color w:val="1A1A1A"/>
          <w:sz w:val="22"/>
          <w:szCs w:val="22"/>
        </w:rPr>
        <w:t xml:space="preserve">ANIMEX must conduct a formal security risk assessment at least annually, or following: a material data breach; a significant platform change; a new critical vendor being onboarded; or a regulatory or threat landscape change. The risk assessment must identify: assets and their classification; threats and vulnerabilities; likelihood and impact; existing controls; residual risk; and risk treatment decisions (accept, mitigate, transfer, or avoid).</w:t>
      </w:r>
    </w:p>
    <w:p>
      <w:pPr>
        <w:spacing w:after="80" w:before="80"/>
      </w:pPr>
      <w:r>
        <w:rPr>
          <w:rFonts w:ascii="Arial" w:cs="Arial" w:eastAsia="Arial" w:hAnsi="Arial"/>
          <w:color w:val="1A1A1A"/>
          <w:sz w:val="22"/>
          <w:szCs w:val="22"/>
        </w:rPr>
        <w:t xml:space="preserve">Risk assessment results must be documented, reviewed by the CEO, and used to prioritise security investment.</w:t>
      </w:r>
    </w:p>
    <w:p>
      <w:pPr>
        <w:pStyle w:val="Heading2"/>
        <w:spacing w:after="120" w:before="280"/>
      </w:pPr>
      <w:r>
        <w:rPr>
          <w:rFonts w:ascii="Arial" w:cs="Arial" w:eastAsia="Arial" w:hAnsi="Arial"/>
          <w:b/>
          <w:bCs/>
          <w:color w:val="1A1A1A"/>
          <w:sz w:val="26"/>
          <w:szCs w:val="26"/>
        </w:rPr>
        <w:t xml:space="preserve">1.6  Security Awareness and Training</w:t>
      </w:r>
    </w:p>
    <w:p>
      <w:pPr>
        <w:spacing w:after="80" w:before="80"/>
      </w:pPr>
      <w:r>
        <w:rPr>
          <w:rFonts w:ascii="Arial" w:cs="Arial" w:eastAsia="Arial" w:hAnsi="Arial"/>
          <w:color w:val="1A1A1A"/>
          <w:sz w:val="22"/>
          <w:szCs w:val="22"/>
        </w:rPr>
        <w:t xml:space="preserve">All Staff must complete security awareness training:</w:t>
      </w:r>
    </w:p>
    <w:p>
      <w:pPr>
        <w:pStyle w:val="ListParagraph"/>
        <w:numPr>
          <w:ilvl w:val="0"/>
          <w:numId w:val="2"/>
        </w:numPr>
        <w:spacing w:after="40" w:before="40"/>
      </w:pPr>
      <w:r>
        <w:rPr>
          <w:rFonts w:ascii="Arial" w:cs="Arial" w:eastAsia="Arial" w:hAnsi="Arial"/>
          <w:color w:val="1A1A1A"/>
          <w:sz w:val="22"/>
          <w:szCs w:val="22"/>
        </w:rPr>
        <w:t>at induction - covering phishing, password hygiene, incident reporting, POPIA basics, and acceptable use;</w:t>
      </w:r>
    </w:p>
    <w:p>
      <w:pPr>
        <w:pStyle w:val="ListParagraph"/>
        <w:numPr>
          <w:ilvl w:val="0"/>
          <w:numId w:val="2"/>
        </w:numPr>
        <w:spacing w:after="40" w:before="40"/>
      </w:pPr>
      <w:r>
        <w:rPr>
          <w:rFonts w:ascii="Arial" w:cs="Arial" w:eastAsia="Arial" w:hAnsi="Arial"/>
          <w:color w:val="1A1A1A"/>
          <w:sz w:val="22"/>
          <w:szCs w:val="22"/>
        </w:rPr>
        <w:t>annually - updated to reflect current threats and lessons from incidents;</w:t>
      </w:r>
    </w:p>
    <w:p>
      <w:pPr>
        <w:pStyle w:val="ListParagraph"/>
        <w:numPr>
          <w:ilvl w:val="0"/>
          <w:numId w:val="2"/>
        </w:numPr>
        <w:spacing w:after="40" w:before="40"/>
      </w:pPr>
      <w:r>
        <w:rPr>
          <w:rFonts w:ascii="Arial" w:cs="Arial" w:eastAsia="Arial" w:hAnsi="Arial"/>
          <w:color w:val="1A1A1A"/>
          <w:sz w:val="22"/>
          <w:szCs w:val="22"/>
        </w:rPr>
        <w:t>whenever a significant security incident occurs - targeted training on the relevant threat.</w:t>
      </w:r>
    </w:p>
    <w:p>
      <w:pPr>
        <w:spacing w:after="80" w:before="80"/>
      </w:pPr>
      <w:r>
        <w:rPr>
          <w:rFonts w:ascii="Arial" w:cs="Arial" w:eastAsia="Arial" w:hAnsi="Arial"/>
          <w:color w:val="1A1A1A"/>
          <w:sz w:val="22"/>
          <w:szCs w:val="22"/>
        </w:rPr>
        <w:t xml:space="preserve">CTO and developers must additionally receive training on secure coding practices (OWASP Top 10 and equivalent) at least annually.</w:t>
      </w:r>
    </w:p>
    <w:p>
      <w:pPr>
        <w:pStyle w:val="Heading2"/>
        <w:spacing w:after="120" w:before="280"/>
      </w:pPr>
      <w:r>
        <w:rPr>
          <w:rFonts w:ascii="Arial" w:cs="Arial" w:eastAsia="Arial" w:hAnsi="Arial"/>
          <w:b/>
          <w:bCs/>
          <w:color w:val="1A1A1A"/>
          <w:sz w:val="26"/>
          <w:szCs w:val="26"/>
        </w:rPr>
        <w:t xml:space="preserve">1.7  Password and Authentication Policy</w:t>
      </w:r>
    </w:p>
    <w:p>
      <w:pPr>
        <w:spacing w:after="80" w:before="80"/>
      </w:pPr>
      <w:r>
        <w:rPr>
          <w:rFonts w:ascii="Arial" w:cs="Arial" w:eastAsia="Arial" w:hAnsi="Arial"/>
          <w:color w:val="1A1A1A"/>
          <w:sz w:val="22"/>
          <w:szCs w:val="22"/>
        </w:rPr>
        <w:t xml:space="preserve">ANIMEX systems must enforce the following minimum authentication standards:</w:t>
      </w:r>
    </w:p>
    <w:p>
      <w:pPr>
        <w:pStyle w:val="ListParagraph"/>
        <w:numPr>
          <w:ilvl w:val="0"/>
          <w:numId w:val="2"/>
        </w:numPr>
        <w:spacing w:after="40" w:before="40"/>
      </w:pPr>
      <w:r>
        <w:rPr>
          <w:rFonts w:ascii="Arial" w:cs="Arial" w:eastAsia="Arial" w:hAnsi="Arial"/>
          <w:color w:val="1A1A1A"/>
          <w:sz w:val="22"/>
          <w:szCs w:val="22"/>
        </w:rPr>
        <w:t xml:space="preserve">minimum password length of 12 characters with complexity requirements;</w:t>
      </w:r>
    </w:p>
    <w:p>
      <w:pPr>
        <w:pStyle w:val="ListParagraph"/>
        <w:numPr>
          <w:ilvl w:val="0"/>
          <w:numId w:val="2"/>
        </w:numPr>
        <w:spacing w:after="40" w:before="40"/>
      </w:pPr>
      <w:r>
        <w:rPr>
          <w:rFonts w:ascii="Arial" w:cs="Arial" w:eastAsia="Arial" w:hAnsi="Arial"/>
          <w:color w:val="1A1A1A"/>
          <w:sz w:val="22"/>
          <w:szCs w:val="22"/>
        </w:rPr>
        <w:t xml:space="preserve">multi-factor authentication (MFA) mandatory for: all admin console access; all production database access; all payment and payout management systems; all privileged developer access; and all remote access;</w:t>
      </w:r>
    </w:p>
    <w:p>
      <w:pPr>
        <w:pStyle w:val="ListParagraph"/>
        <w:numPr>
          <w:ilvl w:val="0"/>
          <w:numId w:val="2"/>
        </w:numPr>
        <w:spacing w:after="40" w:before="40"/>
      </w:pPr>
      <w:r>
        <w:rPr>
          <w:rFonts w:ascii="Arial" w:cs="Arial" w:eastAsia="Arial" w:hAnsi="Arial"/>
          <w:color w:val="1A1A1A"/>
          <w:sz w:val="22"/>
          <w:szCs w:val="22"/>
        </w:rPr>
        <w:t>unique passwords for each system - password reuse across systems is prohibited;</w:t>
      </w:r>
    </w:p>
    <w:p>
      <w:pPr>
        <w:pStyle w:val="ListParagraph"/>
        <w:numPr>
          <w:ilvl w:val="0"/>
          <w:numId w:val="2"/>
        </w:numPr>
        <w:spacing w:after="40" w:before="40"/>
      </w:pPr>
      <w:r>
        <w:rPr>
          <w:rFonts w:ascii="Arial" w:cs="Arial" w:eastAsia="Arial" w:hAnsi="Arial"/>
          <w:color w:val="1A1A1A"/>
          <w:sz w:val="22"/>
          <w:szCs w:val="22"/>
        </w:rPr>
        <w:t xml:space="preserve">password manager use is strongly recommended for all Staff;</w:t>
      </w:r>
    </w:p>
    <w:p>
      <w:pPr>
        <w:pStyle w:val="ListParagraph"/>
        <w:numPr>
          <w:ilvl w:val="0"/>
          <w:numId w:val="2"/>
        </w:numPr>
        <w:spacing w:after="40" w:before="40"/>
      </w:pPr>
      <w:r>
        <w:rPr>
          <w:rFonts w:ascii="Arial" w:cs="Arial" w:eastAsia="Arial" w:hAnsi="Arial"/>
          <w:color w:val="1A1A1A"/>
          <w:sz w:val="22"/>
          <w:szCs w:val="22"/>
        </w:rPr>
        <w:t xml:space="preserve">passwords must be changed immediately on suspected compromise;</w:t>
      </w:r>
    </w:p>
    <w:p>
      <w:pPr>
        <w:pStyle w:val="ListParagraph"/>
        <w:numPr>
          <w:ilvl w:val="0"/>
          <w:numId w:val="2"/>
        </w:numPr>
        <w:spacing w:after="40" w:before="40"/>
      </w:pPr>
      <w:r>
        <w:rPr>
          <w:rFonts w:ascii="Arial" w:cs="Arial" w:eastAsia="Arial" w:hAnsi="Arial"/>
          <w:color w:val="1A1A1A"/>
          <w:sz w:val="22"/>
          <w:szCs w:val="22"/>
        </w:rPr>
        <w:t xml:space="preserve">shared credentials are prohibited for any production system;</w:t>
      </w:r>
    </w:p>
    <w:p>
      <w:pPr>
        <w:pStyle w:val="ListParagraph"/>
        <w:numPr>
          <w:ilvl w:val="0"/>
          <w:numId w:val="2"/>
        </w:numPr>
        <w:spacing w:after="40" w:before="40"/>
      </w:pPr>
      <w:r>
        <w:rPr>
          <w:rFonts w:ascii="Arial" w:cs="Arial" w:eastAsia="Arial" w:hAnsi="Arial"/>
          <w:color w:val="1A1A1A"/>
          <w:sz w:val="22"/>
          <w:szCs w:val="22"/>
        </w:rPr>
        <w:t>service accounts must use API keys or tokens - not human passwords.</w:t>
      </w:r>
    </w:p>
    <w:p>
      <w:pPr>
        <w:pStyle w:val="Heading2"/>
        <w:spacing w:after="120" w:before="280"/>
      </w:pPr>
      <w:r>
        <w:rPr>
          <w:rFonts w:ascii="Arial" w:cs="Arial" w:eastAsia="Arial" w:hAnsi="Arial"/>
          <w:b/>
          <w:bCs/>
          <w:color w:val="1A1A1A"/>
          <w:sz w:val="26"/>
          <w:szCs w:val="26"/>
        </w:rPr>
        <w:t xml:space="preserve">1.8  Network and Infrastructure Security</w:t>
      </w:r>
    </w:p>
    <w:p>
      <w:pPr>
        <w:spacing w:after="80" w:before="80"/>
      </w:pPr>
      <w:r>
        <w:rPr>
          <w:rFonts w:ascii="Arial" w:cs="Arial" w:eastAsia="Arial" w:hAnsi="Arial"/>
          <w:color w:val="1A1A1A"/>
          <w:sz w:val="22"/>
          <w:szCs w:val="22"/>
        </w:rPr>
        <w:t xml:space="preserve">ANIMEX's production infrastructure must maintain:</w:t>
      </w:r>
    </w:p>
    <w:p>
      <w:pPr>
        <w:pStyle w:val="ListParagraph"/>
        <w:numPr>
          <w:ilvl w:val="0"/>
          <w:numId w:val="2"/>
        </w:numPr>
        <w:spacing w:after="40" w:before="40"/>
      </w:pPr>
      <w:r>
        <w:rPr>
          <w:rFonts w:ascii="Arial" w:cs="Arial" w:eastAsia="Arial" w:hAnsi="Arial"/>
          <w:color w:val="1A1A1A"/>
          <w:sz w:val="22"/>
          <w:szCs w:val="22"/>
        </w:rPr>
        <w:t xml:space="preserve">network segmentation separating production, staging, and development environments;</w:t>
      </w:r>
    </w:p>
    <w:p>
      <w:pPr>
        <w:pStyle w:val="ListParagraph"/>
        <w:numPr>
          <w:ilvl w:val="0"/>
          <w:numId w:val="2"/>
        </w:numPr>
        <w:spacing w:after="40" w:before="40"/>
      </w:pPr>
      <w:r>
        <w:rPr>
          <w:rFonts w:ascii="Arial" w:cs="Arial" w:eastAsia="Arial" w:hAnsi="Arial"/>
          <w:color w:val="1A1A1A"/>
          <w:sz w:val="22"/>
          <w:szCs w:val="22"/>
        </w:rPr>
        <w:t xml:space="preserve">firewall and access control list rules permitting only explicitly authorised traffic;</w:t>
      </w:r>
    </w:p>
    <w:p>
      <w:pPr>
        <w:pStyle w:val="ListParagraph"/>
        <w:numPr>
          <w:ilvl w:val="0"/>
          <w:numId w:val="2"/>
        </w:numPr>
        <w:spacing w:after="40" w:before="40"/>
      </w:pPr>
      <w:r>
        <w:rPr>
          <w:rFonts w:ascii="Arial" w:cs="Arial" w:eastAsia="Arial" w:hAnsi="Arial"/>
          <w:color w:val="1A1A1A"/>
          <w:sz w:val="22"/>
          <w:szCs w:val="22"/>
        </w:rPr>
        <w:t xml:space="preserve">TLS 1.2 or higher enforced on all public-facing endpoints;</w:t>
      </w:r>
    </w:p>
    <w:p>
      <w:pPr>
        <w:pStyle w:val="ListParagraph"/>
        <w:numPr>
          <w:ilvl w:val="0"/>
          <w:numId w:val="2"/>
        </w:numPr>
        <w:spacing w:after="40" w:before="40"/>
      </w:pPr>
      <w:r>
        <w:rPr>
          <w:rFonts w:ascii="Arial" w:cs="Arial" w:eastAsia="Arial" w:hAnsi="Arial"/>
          <w:color w:val="1A1A1A"/>
          <w:sz w:val="22"/>
          <w:szCs w:val="22"/>
        </w:rPr>
        <w:t xml:space="preserve">automated alerting on anomalous traffic, authentication failures, and resource spikes;</w:t>
      </w:r>
    </w:p>
    <w:p>
      <w:pPr>
        <w:pStyle w:val="ListParagraph"/>
        <w:numPr>
          <w:ilvl w:val="0"/>
          <w:numId w:val="2"/>
        </w:numPr>
        <w:spacing w:after="40" w:before="40"/>
      </w:pPr>
      <w:r>
        <w:rPr>
          <w:rFonts w:ascii="Arial" w:cs="Arial" w:eastAsia="Arial" w:hAnsi="Arial"/>
          <w:color w:val="1A1A1A"/>
          <w:sz w:val="22"/>
          <w:szCs w:val="22"/>
        </w:rPr>
        <w:t xml:space="preserve">DDoS mitigation at CDN level (Netlify or equivalent);</w:t>
      </w:r>
    </w:p>
    <w:p>
      <w:pPr>
        <w:pStyle w:val="ListParagraph"/>
        <w:numPr>
          <w:ilvl w:val="0"/>
          <w:numId w:val="2"/>
        </w:numPr>
        <w:spacing w:after="40" w:before="40"/>
      </w:pPr>
      <w:r>
        <w:rPr>
          <w:rFonts w:ascii="Arial" w:cs="Arial" w:eastAsia="Arial" w:hAnsi="Arial"/>
          <w:color w:val="1A1A1A"/>
          <w:sz w:val="22"/>
          <w:szCs w:val="22"/>
        </w:rPr>
        <w:t>no hardcoded credentials, secrets, or API keys in source code repositories - secrets management via environment variables or a secrets manager;</w:t>
      </w:r>
    </w:p>
    <w:p>
      <w:pPr>
        <w:pStyle w:val="ListParagraph"/>
        <w:numPr>
          <w:ilvl w:val="0"/>
          <w:numId w:val="2"/>
        </w:numPr>
        <w:spacing w:after="40" w:before="40"/>
      </w:pPr>
      <w:r>
        <w:rPr>
          <w:rFonts w:ascii="Arial" w:cs="Arial" w:eastAsia="Arial" w:hAnsi="Arial"/>
          <w:color w:val="1A1A1A"/>
          <w:sz w:val="22"/>
          <w:szCs w:val="22"/>
        </w:rPr>
        <w:t xml:space="preserve">dependency scanning and automated vulnerability detection in the CI/CD pipeline.</w:t>
      </w:r>
    </w:p>
    <w:p>
      <w:pPr>
        <w:shd w:fill="EEF4FB" w:val="clear"/>
        <w:spacing w:after="80" w:before="80"/>
        <w:ind w:left="360" w:right="360"/>
      </w:pPr>
      <w:r>
        <w:rPr>
          <w:rFonts w:ascii="Arial" w:cs="Arial" w:eastAsia="Arial" w:hAnsi="Arial"/>
          <w:i/>
          <w:iCs/>
          <w:color w:val="2F5496"/>
          <w:sz w:val="20"/>
          <w:szCs w:val="20"/>
        </w:rPr>
        <w:t>INTERNAL NOTE: ANIMEX's pre-launch security remediation must address: runtime fallback Supabase project URL and publishable anon key in src/config/runtimeEnv.ts; no committed live .env file observed in the supplied ZIP; .env.example correctly warns never to commit .env; origin-reflecting CORS on PayFast return-confirmation functions, requiring production/staging origin allowlisting before live payments; verify_jwt = false on multiple Supabase Edge Functions, requiring function-specific compensating controls and authentication review; and enforced CSP in netlify.toml, with production-domain testing and removal of development-only frame ancestors where not required. These are critical pre-launch fixes.</w:t>
      </w:r>
    </w:p>
    <w:p>
      <w:pPr>
        <w:pStyle w:val="Heading2"/>
        <w:spacing w:after="120" w:before="280"/>
      </w:pPr>
      <w:r>
        <w:rPr>
          <w:rFonts w:ascii="Arial" w:cs="Arial" w:eastAsia="Arial" w:hAnsi="Arial"/>
          <w:b/>
          <w:bCs/>
          <w:color w:val="1A1A1A"/>
          <w:sz w:val="26"/>
          <w:szCs w:val="26"/>
        </w:rPr>
        <w:t xml:space="preserve">1.9  Endpoint Security</w:t>
      </w:r>
    </w:p>
    <w:p>
      <w:pPr>
        <w:spacing w:after="80" w:before="80"/>
      </w:pPr>
      <w:r>
        <w:rPr>
          <w:rFonts w:ascii="Arial" w:cs="Arial" w:eastAsia="Arial" w:hAnsi="Arial"/>
          <w:color w:val="1A1A1A"/>
          <w:sz w:val="22"/>
          <w:szCs w:val="22"/>
        </w:rPr>
        <w:t xml:space="preserve">All ANIMEX-owned or ANIMEX-managed devices used to access production systems must have:</w:t>
      </w:r>
    </w:p>
    <w:p>
      <w:pPr>
        <w:pStyle w:val="ListParagraph"/>
        <w:numPr>
          <w:ilvl w:val="0"/>
          <w:numId w:val="2"/>
        </w:numPr>
        <w:spacing w:after="40" w:before="40"/>
      </w:pPr>
      <w:r>
        <w:rPr>
          <w:rFonts w:ascii="Arial" w:cs="Arial" w:eastAsia="Arial" w:hAnsi="Arial"/>
          <w:color w:val="1A1A1A"/>
          <w:sz w:val="22"/>
          <w:szCs w:val="22"/>
        </w:rPr>
        <w:t xml:space="preserve">full-disk encryption enabled;</w:t>
      </w:r>
    </w:p>
    <w:p>
      <w:pPr>
        <w:pStyle w:val="ListParagraph"/>
        <w:numPr>
          <w:ilvl w:val="0"/>
          <w:numId w:val="2"/>
        </w:numPr>
        <w:spacing w:after="40" w:before="40"/>
      </w:pPr>
      <w:r>
        <w:rPr>
          <w:rFonts w:ascii="Arial" w:cs="Arial" w:eastAsia="Arial" w:hAnsi="Arial"/>
          <w:color w:val="1A1A1A"/>
          <w:sz w:val="22"/>
          <w:szCs w:val="22"/>
        </w:rPr>
        <w:t xml:space="preserve">current operating system with automatic security updates enabled;</w:t>
      </w:r>
    </w:p>
    <w:p>
      <w:pPr>
        <w:pStyle w:val="ListParagraph"/>
        <w:numPr>
          <w:ilvl w:val="0"/>
          <w:numId w:val="2"/>
        </w:numPr>
        <w:spacing w:after="40" w:before="40"/>
      </w:pPr>
      <w:r>
        <w:rPr>
          <w:rFonts w:ascii="Arial" w:cs="Arial" w:eastAsia="Arial" w:hAnsi="Arial"/>
          <w:color w:val="1A1A1A"/>
          <w:sz w:val="22"/>
          <w:szCs w:val="22"/>
        </w:rPr>
        <w:t xml:space="preserve">endpoint protection software installed and updated;</w:t>
      </w:r>
    </w:p>
    <w:p>
      <w:pPr>
        <w:pStyle w:val="ListParagraph"/>
        <w:numPr>
          <w:ilvl w:val="0"/>
          <w:numId w:val="2"/>
        </w:numPr>
        <w:spacing w:after="40" w:before="40"/>
      </w:pPr>
      <w:r>
        <w:rPr>
          <w:rFonts w:ascii="Arial" w:cs="Arial" w:eastAsia="Arial" w:hAnsi="Arial"/>
          <w:color w:val="1A1A1A"/>
          <w:sz w:val="22"/>
          <w:szCs w:val="22"/>
        </w:rPr>
        <w:t xml:space="preserve">automatic screen lock after 5 minutes of inactivity;</w:t>
      </w:r>
    </w:p>
    <w:p>
      <w:pPr>
        <w:pStyle w:val="ListParagraph"/>
        <w:numPr>
          <w:ilvl w:val="0"/>
          <w:numId w:val="2"/>
        </w:numPr>
        <w:spacing w:after="40" w:before="40"/>
      </w:pPr>
      <w:r>
        <w:rPr>
          <w:rFonts w:ascii="Arial" w:cs="Arial" w:eastAsia="Arial" w:hAnsi="Arial"/>
          <w:color w:val="1A1A1A"/>
          <w:sz w:val="22"/>
          <w:szCs w:val="22"/>
        </w:rPr>
        <w:t xml:space="preserve">remote wipe capability where technically feasible.</w:t>
      </w:r>
    </w:p>
    <w:p>
      <w:pPr>
        <w:spacing w:after="80" w:before="80"/>
      </w:pPr>
      <w:r>
        <w:rPr>
          <w:rFonts w:ascii="Arial" w:cs="Arial" w:eastAsia="Arial" w:hAnsi="Arial"/>
          <w:color w:val="1A1A1A"/>
          <w:sz w:val="22"/>
          <w:szCs w:val="22"/>
        </w:rPr>
        <w:t xml:space="preserve">Staff using personal devices (BYOD) to access ANIMEX systems must comply with minimum security requirements set by the CTO and must not access Critical-classified assets from personal devices.</w:t>
      </w:r>
    </w:p>
    <w:p>
      <w:pPr>
        <w:pStyle w:val="Heading2"/>
        <w:spacing w:after="120" w:before="280"/>
      </w:pPr>
      <w:r>
        <w:rPr>
          <w:rFonts w:ascii="Arial" w:cs="Arial" w:eastAsia="Arial" w:hAnsi="Arial"/>
          <w:b/>
          <w:bCs/>
          <w:color w:val="1A1A1A"/>
          <w:sz w:val="26"/>
          <w:szCs w:val="26"/>
        </w:rPr>
        <w:t xml:space="preserve">1.10  Physical Security</w:t>
      </w:r>
    </w:p>
    <w:p>
      <w:pPr>
        <w:spacing w:after="80" w:before="80"/>
      </w:pPr>
      <w:r>
        <w:rPr>
          <w:rFonts w:ascii="Arial" w:cs="Arial" w:eastAsia="Arial" w:hAnsi="Arial"/>
          <w:color w:val="1A1A1A"/>
          <w:sz w:val="22"/>
          <w:szCs w:val="22"/>
        </w:rPr>
        <w:t xml:space="preserve">Where ANIMEX maintains physical premises:</w:t>
      </w:r>
    </w:p>
    <w:p>
      <w:pPr>
        <w:pStyle w:val="ListParagraph"/>
        <w:numPr>
          <w:ilvl w:val="0"/>
          <w:numId w:val="2"/>
        </w:numPr>
        <w:spacing w:after="40" w:before="40"/>
      </w:pPr>
      <w:r>
        <w:rPr>
          <w:rFonts w:ascii="Arial" w:cs="Arial" w:eastAsia="Arial" w:hAnsi="Arial"/>
          <w:color w:val="1A1A1A"/>
          <w:sz w:val="22"/>
          <w:szCs w:val="22"/>
        </w:rPr>
        <w:t xml:space="preserve">access to areas hosting ANIMEX equipment or printed personal information must be restricted to authorised personnel;</w:t>
      </w:r>
    </w:p>
    <w:p>
      <w:pPr>
        <w:pStyle w:val="ListParagraph"/>
        <w:numPr>
          <w:ilvl w:val="0"/>
          <w:numId w:val="2"/>
        </w:numPr>
        <w:spacing w:after="40" w:before="40"/>
      </w:pPr>
      <w:r>
        <w:rPr>
          <w:rFonts w:ascii="Arial" w:cs="Arial" w:eastAsia="Arial" w:hAnsi="Arial"/>
          <w:color w:val="1A1A1A"/>
          <w:sz w:val="22"/>
          <w:szCs w:val="22"/>
        </w:rPr>
        <w:t xml:space="preserve">printed documents containing personal information must be securely shredded when no longer required;</w:t>
      </w:r>
    </w:p>
    <w:p>
      <w:pPr>
        <w:pStyle w:val="ListParagraph"/>
        <w:numPr>
          <w:ilvl w:val="0"/>
          <w:numId w:val="2"/>
        </w:numPr>
        <w:spacing w:after="40" w:before="40"/>
      </w:pPr>
      <w:r>
        <w:rPr>
          <w:rFonts w:ascii="Arial" w:cs="Arial" w:eastAsia="Arial" w:hAnsi="Arial"/>
          <w:color w:val="1A1A1A"/>
          <w:sz w:val="22"/>
          <w:szCs w:val="22"/>
        </w:rPr>
        <w:t xml:space="preserve">screens must not display personal information in areas visible to unauthorised persons;</w:t>
      </w:r>
    </w:p>
    <w:p>
      <w:pPr>
        <w:pStyle w:val="ListParagraph"/>
        <w:numPr>
          <w:ilvl w:val="0"/>
          <w:numId w:val="2"/>
        </w:numPr>
        <w:spacing w:after="40" w:before="40"/>
      </w:pPr>
      <w:r>
        <w:rPr>
          <w:rFonts w:ascii="Arial" w:cs="Arial" w:eastAsia="Arial" w:hAnsi="Arial"/>
          <w:color w:val="1A1A1A"/>
          <w:sz w:val="22"/>
          <w:szCs w:val="22"/>
        </w:rPr>
        <w:t xml:space="preserve">visitor access to working areas must be supervised.</w:t>
      </w:r>
    </w:p>
    <w:p>
      <w:pPr>
        <w:pStyle w:val="Heading2"/>
        <w:spacing w:after="120" w:before="280"/>
      </w:pPr>
      <w:r>
        <w:rPr>
          <w:rFonts w:ascii="Arial" w:cs="Arial" w:eastAsia="Arial" w:hAnsi="Arial"/>
          <w:b/>
          <w:bCs/>
          <w:color w:val="1A1A1A"/>
          <w:sz w:val="26"/>
          <w:szCs w:val="26"/>
        </w:rPr>
        <w:t xml:space="preserve">1.11  Policy Review</w:t>
      </w:r>
    </w:p>
    <w:p>
      <w:pPr>
        <w:spacing w:after="80" w:before="80"/>
      </w:pPr>
      <w:r>
        <w:rPr>
          <w:rFonts w:ascii="Arial" w:cs="Arial" w:eastAsia="Arial" w:hAnsi="Arial"/>
          <w:color w:val="1A1A1A"/>
          <w:sz w:val="22"/>
          <w:szCs w:val="22"/>
        </w:rPr>
        <w:t xml:space="preserve">This Information Security Policy must be reviewed at least annually by the CTO and Information Officer, and following any significant security incident, material platform change, or regulatory development.</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2.  Change Management Policy</w:t>
      </w:r>
    </w:p>
    <w:p>
      <w:pPr>
        <w:pStyle w:val="Heading2"/>
        <w:spacing w:after="120" w:before="280"/>
      </w:pPr>
      <w:r>
        <w:rPr>
          <w:rFonts w:ascii="Arial" w:cs="Arial" w:eastAsia="Arial" w:hAnsi="Arial"/>
          <w:b/>
          <w:bCs/>
          <w:color w:val="1A1A1A"/>
          <w:sz w:val="26"/>
          <w:szCs w:val="26"/>
        </w:rPr>
        <w:t xml:space="preserve">2.1  Purpose</w:t>
      </w:r>
    </w:p>
    <w:p>
      <w:pPr>
        <w:spacing w:after="80" w:before="80"/>
      </w:pPr>
      <w:r>
        <w:rPr>
          <w:rFonts w:ascii="Arial" w:cs="Arial" w:eastAsia="Arial" w:hAnsi="Arial"/>
          <w:color w:val="1A1A1A"/>
          <w:sz w:val="22"/>
          <w:szCs w:val="22"/>
        </w:rPr>
        <w:t xml:space="preserve">This policy governs changes to ANIMEX's production systems, infrastructure, database schema, payment flows, authentication systems, API configurations, third-party integrations, and security controls. Uncontrolled changes are a leading cause of security incidents, data loss, payment failures, and compliance breaches.</w:t>
      </w:r>
    </w:p>
    <w:p>
      <w:pPr>
        <w:pStyle w:val="Heading2"/>
        <w:spacing w:after="120" w:before="280"/>
      </w:pPr>
      <w:r>
        <w:rPr>
          <w:rFonts w:ascii="Arial" w:cs="Arial" w:eastAsia="Arial" w:hAnsi="Arial"/>
          <w:b/>
          <w:bCs/>
          <w:color w:val="1A1A1A"/>
          <w:sz w:val="26"/>
          <w:szCs w:val="26"/>
        </w:rPr>
        <w:t xml:space="preserve">2.2  Change Categories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Category</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Description</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Approval and Process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Standard Change</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Low-risk, pre-approved, frequently performed change following a known procedure (e.g. content updates, minor UI fixes, dependency patches within minor/patch versions)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CTO approval; documented in changelog</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Normal Change</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Moderate-risk change to platform features, database schema, API configurations, payment flows, authentication systems, or third-party integrations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CTO review and approval; staging test required; rollback plan documented</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Emergency Change</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Urgent fix required to restore a Critical system, patch an active exploit, or resolve a payment flow failure outside normal change windows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CEO and CTO approval; documented retrospectively within 24 hours; post-change review required</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Major Change</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Significant platform rewrite, new payment gateway, major infrastructure migration, new critical vendor, or any change materially affecting User data or payment flows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CEO, CTO, and legal adviser review; full testing cycle; POPIA impact assessment; User notice if applicable</w:t>
            </w:r>
          </w:p>
        </w:tc>
      </w:tr>
    </w:tbl>
    <w:p>
      <w:pPr>
        <w:spacing w:after="60" w:before="60"/>
      </w:pPr>
      <w:r>
        <w:t xml:space="preserve"/>
      </w:r>
    </w:p>
    <w:p>
      <w:pPr>
        <w:pStyle w:val="Heading2"/>
        <w:spacing w:after="120" w:before="280"/>
      </w:pPr>
      <w:r>
        <w:rPr>
          <w:rFonts w:ascii="Arial" w:cs="Arial" w:eastAsia="Arial" w:hAnsi="Arial"/>
          <w:b/>
          <w:bCs/>
          <w:color w:val="1A1A1A"/>
          <w:sz w:val="26"/>
          <w:szCs w:val="26"/>
        </w:rPr>
        <w:t>2.3  Change Control Requirements - Normal and Major Changes</w:t>
      </w:r>
    </w:p>
    <w:p>
      <w:pPr>
        <w:spacing w:after="80" w:before="80"/>
      </w:pPr>
      <w:r>
        <w:rPr>
          <w:rFonts w:ascii="Arial" w:cs="Arial" w:eastAsia="Arial" w:hAnsi="Arial"/>
          <w:color w:val="1A1A1A"/>
          <w:sz w:val="22"/>
          <w:szCs w:val="22"/>
        </w:rPr>
        <w:t xml:space="preserve">All Normal and Major changes must:</w:t>
      </w:r>
    </w:p>
    <w:p>
      <w:pPr>
        <w:pStyle w:val="ListParagraph"/>
        <w:numPr>
          <w:ilvl w:val="0"/>
          <w:numId w:val="3"/>
        </w:numPr>
        <w:spacing w:after="40" w:before="40"/>
      </w:pPr>
      <w:r>
        <w:rPr>
          <w:rFonts w:ascii="Arial" w:cs="Arial" w:eastAsia="Arial" w:hAnsi="Arial"/>
          <w:color w:val="1A1A1A"/>
          <w:sz w:val="22"/>
          <w:szCs w:val="22"/>
        </w:rPr>
        <w:t xml:space="preserve">Be documented in a Change Request Record before implementation, describing: the change; the reason; the systems affected; the risk and impact assessment; the testing performed; and the rollback plan.</w:t>
      </w:r>
    </w:p>
    <w:p>
      <w:pPr>
        <w:pStyle w:val="ListParagraph"/>
        <w:numPr>
          <w:ilvl w:val="0"/>
          <w:numId w:val="3"/>
        </w:numPr>
        <w:spacing w:after="40" w:before="40"/>
      </w:pPr>
      <w:r>
        <w:rPr>
          <w:rFonts w:ascii="Arial" w:cs="Arial" w:eastAsia="Arial" w:hAnsi="Arial"/>
          <w:color w:val="1A1A1A"/>
          <w:sz w:val="22"/>
          <w:szCs w:val="22"/>
        </w:rPr>
        <w:t>Be tested in a staging environment that mirrors production before deployment. User personal information must not be used in staging - synthetic or anonymised test data only.</w:t>
      </w:r>
    </w:p>
    <w:p>
      <w:pPr>
        <w:pStyle w:val="ListParagraph"/>
        <w:numPr>
          <w:ilvl w:val="0"/>
          <w:numId w:val="3"/>
        </w:numPr>
        <w:spacing w:after="40" w:before="40"/>
      </w:pPr>
      <w:r>
        <w:rPr>
          <w:rFonts w:ascii="Arial" w:cs="Arial" w:eastAsia="Arial" w:hAnsi="Arial"/>
          <w:color w:val="1A1A1A"/>
          <w:sz w:val="22"/>
          <w:szCs w:val="22"/>
        </w:rPr>
        <w:t xml:space="preserve">Have a documented rollback plan that can be executed within 1 hour for Critical systems.</w:t>
      </w:r>
    </w:p>
    <w:p>
      <w:pPr>
        <w:pStyle w:val="ListParagraph"/>
        <w:numPr>
          <w:ilvl w:val="0"/>
          <w:numId w:val="3"/>
        </w:numPr>
        <w:spacing w:after="40" w:before="40"/>
      </w:pPr>
      <w:r>
        <w:rPr>
          <w:rFonts w:ascii="Arial" w:cs="Arial" w:eastAsia="Arial" w:hAnsi="Arial"/>
          <w:color w:val="1A1A1A"/>
          <w:sz w:val="22"/>
          <w:szCs w:val="22"/>
        </w:rPr>
        <w:t xml:space="preserve">Be reviewed by at least one person other than the author before deployment to production.</w:t>
      </w:r>
    </w:p>
    <w:p>
      <w:pPr>
        <w:pStyle w:val="ListParagraph"/>
        <w:numPr>
          <w:ilvl w:val="0"/>
          <w:numId w:val="3"/>
        </w:numPr>
        <w:spacing w:after="40" w:before="40"/>
      </w:pPr>
      <w:r>
        <w:rPr>
          <w:rFonts w:ascii="Arial" w:cs="Arial" w:eastAsia="Arial" w:hAnsi="Arial"/>
          <w:color w:val="1A1A1A"/>
          <w:sz w:val="22"/>
          <w:szCs w:val="22"/>
        </w:rPr>
        <w:t xml:space="preserve">Be deployed outside of peak usage hours where possible, with User notice for changes that cause downtime.</w:t>
      </w:r>
    </w:p>
    <w:p>
      <w:pPr>
        <w:pStyle w:val="ListParagraph"/>
        <w:numPr>
          <w:ilvl w:val="0"/>
          <w:numId w:val="3"/>
        </w:numPr>
        <w:spacing w:after="40" w:before="40"/>
      </w:pPr>
      <w:r>
        <w:rPr>
          <w:rFonts w:ascii="Arial" w:cs="Arial" w:eastAsia="Arial" w:hAnsi="Arial"/>
          <w:color w:val="1A1A1A"/>
          <w:sz w:val="22"/>
          <w:szCs w:val="22"/>
        </w:rPr>
        <w:t xml:space="preserve">Be recorded in the Change Log with: date; change type; systems affected; deployed by; approved by; test results; and post-deployment verification.</w:t>
      </w:r>
    </w:p>
    <w:p>
      <w:pPr>
        <w:pStyle w:val="Heading2"/>
        <w:spacing w:after="120" w:before="280"/>
      </w:pPr>
      <w:r>
        <w:rPr>
          <w:rFonts w:ascii="Arial" w:cs="Arial" w:eastAsia="Arial" w:hAnsi="Arial"/>
          <w:b/>
          <w:bCs/>
          <w:color w:val="1A1A1A"/>
          <w:sz w:val="26"/>
          <w:szCs w:val="26"/>
        </w:rPr>
        <w:t xml:space="preserve">2.4  Specific Controls for Payment and Security Changes</w:t>
      </w:r>
    </w:p>
    <w:p>
      <w:pPr>
        <w:spacing w:after="80" w:before="80"/>
      </w:pPr>
      <w:r>
        <w:rPr>
          <w:rFonts w:ascii="Arial" w:cs="Arial" w:eastAsia="Arial" w:hAnsi="Arial"/>
          <w:color w:val="1A1A1A"/>
          <w:sz w:val="22"/>
          <w:szCs w:val="22"/>
        </w:rPr>
        <w:t xml:space="preserve">Changes to Secure Checkout flows, PayFast integration, payout logic, authentication systems, CORS configuration, JWT verification settings, CSP headers, or any security control require:</w:t>
      </w:r>
    </w:p>
    <w:p>
      <w:pPr>
        <w:pStyle w:val="ListParagraph"/>
        <w:numPr>
          <w:ilvl w:val="0"/>
          <w:numId w:val="2"/>
        </w:numPr>
        <w:spacing w:after="40" w:before="40"/>
      </w:pPr>
      <w:r>
        <w:rPr>
          <w:rFonts w:ascii="Arial" w:cs="Arial" w:eastAsia="Arial" w:hAnsi="Arial"/>
          <w:color w:val="1A1A1A"/>
          <w:sz w:val="22"/>
          <w:szCs w:val="22"/>
        </w:rPr>
        <w:t xml:space="preserve">CTO sign-off and CEO awareness;</w:t>
      </w:r>
    </w:p>
    <w:p>
      <w:pPr>
        <w:pStyle w:val="ListParagraph"/>
        <w:numPr>
          <w:ilvl w:val="0"/>
          <w:numId w:val="2"/>
        </w:numPr>
        <w:spacing w:after="40" w:before="40"/>
      </w:pPr>
      <w:r>
        <w:rPr>
          <w:rFonts w:ascii="Arial" w:cs="Arial" w:eastAsia="Arial" w:hAnsi="Arial"/>
          <w:color w:val="1A1A1A"/>
          <w:sz w:val="22"/>
          <w:szCs w:val="22"/>
        </w:rPr>
        <w:t xml:space="preserve">explicit security review confirming the change does not introduce vulnerabilities or weaken existing controls;</w:t>
      </w:r>
    </w:p>
    <w:p>
      <w:pPr>
        <w:pStyle w:val="ListParagraph"/>
        <w:numPr>
          <w:ilvl w:val="0"/>
          <w:numId w:val="2"/>
        </w:numPr>
        <w:spacing w:after="40" w:before="40"/>
      </w:pPr>
      <w:r>
        <w:rPr>
          <w:rFonts w:ascii="Arial" w:cs="Arial" w:eastAsia="Arial" w:hAnsi="Arial"/>
          <w:color w:val="1A1A1A"/>
          <w:sz w:val="22"/>
          <w:szCs w:val="22"/>
        </w:rPr>
        <w:t>dual review - at least two engineers must review the change before deployment;</w:t>
      </w:r>
    </w:p>
    <w:p>
      <w:pPr>
        <w:pStyle w:val="ListParagraph"/>
        <w:numPr>
          <w:ilvl w:val="0"/>
          <w:numId w:val="2"/>
        </w:numPr>
        <w:spacing w:after="40" w:before="40"/>
      </w:pPr>
      <w:r>
        <w:rPr>
          <w:rFonts w:ascii="Arial" w:cs="Arial" w:eastAsia="Arial" w:hAnsi="Arial"/>
          <w:color w:val="1A1A1A"/>
          <w:sz w:val="22"/>
          <w:szCs w:val="22"/>
        </w:rPr>
        <w:t xml:space="preserve">post-deployment verification of the specific security control changed;</w:t>
      </w:r>
    </w:p>
    <w:p>
      <w:pPr>
        <w:pStyle w:val="ListParagraph"/>
        <w:numPr>
          <w:ilvl w:val="0"/>
          <w:numId w:val="2"/>
        </w:numPr>
        <w:spacing w:after="40" w:before="40"/>
      </w:pPr>
      <w:r>
        <w:rPr>
          <w:rFonts w:ascii="Arial" w:cs="Arial" w:eastAsia="Arial" w:hAnsi="Arial"/>
          <w:color w:val="1A1A1A"/>
          <w:sz w:val="22"/>
          <w:szCs w:val="22"/>
        </w:rPr>
        <w:t xml:space="preserve">immediate rollback and incident declaration if the change causes unexpected behaviour in a Critical system.</w:t>
      </w:r>
    </w:p>
    <w:p>
      <w:pPr>
        <w:pStyle w:val="Heading2"/>
        <w:spacing w:after="120" w:before="280"/>
      </w:pPr>
      <w:r>
        <w:rPr>
          <w:rFonts w:ascii="Arial" w:cs="Arial" w:eastAsia="Arial" w:hAnsi="Arial"/>
          <w:b/>
          <w:bCs/>
          <w:color w:val="1A1A1A"/>
          <w:sz w:val="26"/>
          <w:szCs w:val="26"/>
        </w:rPr>
        <w:t xml:space="preserve">2.5  Database Schema Changes</w:t>
      </w:r>
    </w:p>
    <w:p>
      <w:pPr>
        <w:spacing w:after="80" w:before="80"/>
      </w:pPr>
      <w:r>
        <w:rPr>
          <w:rFonts w:ascii="Arial" w:cs="Arial" w:eastAsia="Arial" w:hAnsi="Arial"/>
          <w:color w:val="1A1A1A"/>
          <w:sz w:val="22"/>
          <w:szCs w:val="22"/>
        </w:rPr>
        <w:t xml:space="preserve">All database schema changes (Supabase PostgreSQL migrations) must:</w:t>
      </w:r>
    </w:p>
    <w:p>
      <w:pPr>
        <w:pStyle w:val="ListParagraph"/>
        <w:numPr>
          <w:ilvl w:val="0"/>
          <w:numId w:val="2"/>
        </w:numPr>
        <w:spacing w:after="40" w:before="40"/>
      </w:pPr>
      <w:r>
        <w:rPr>
          <w:rFonts w:ascii="Arial" w:cs="Arial" w:eastAsia="Arial" w:hAnsi="Arial"/>
          <w:color w:val="1A1A1A"/>
          <w:sz w:val="22"/>
          <w:szCs w:val="22"/>
        </w:rPr>
        <w:t xml:space="preserve">be written as versioned, reversible migration scripts;</w:t>
      </w:r>
    </w:p>
    <w:p>
      <w:pPr>
        <w:pStyle w:val="ListParagraph"/>
        <w:numPr>
          <w:ilvl w:val="0"/>
          <w:numId w:val="2"/>
        </w:numPr>
        <w:spacing w:after="40" w:before="40"/>
      </w:pPr>
      <w:r>
        <w:rPr>
          <w:rFonts w:ascii="Arial" w:cs="Arial" w:eastAsia="Arial" w:hAnsi="Arial"/>
          <w:color w:val="1A1A1A"/>
          <w:sz w:val="22"/>
          <w:szCs w:val="22"/>
        </w:rPr>
        <w:t xml:space="preserve">be tested in staging against production-representative data volumes;</w:t>
      </w:r>
    </w:p>
    <w:p>
      <w:pPr>
        <w:pStyle w:val="ListParagraph"/>
        <w:numPr>
          <w:ilvl w:val="0"/>
          <w:numId w:val="2"/>
        </w:numPr>
        <w:spacing w:after="40" w:before="40"/>
      </w:pPr>
      <w:r>
        <w:rPr>
          <w:rFonts w:ascii="Arial" w:cs="Arial" w:eastAsia="Arial" w:hAnsi="Arial"/>
          <w:color w:val="1A1A1A"/>
          <w:sz w:val="22"/>
          <w:szCs w:val="22"/>
        </w:rPr>
        <w:t>be reviewed for RLS policy impact - any change that could alter Row Level Security policies requires explicit security sign-off;</w:t>
      </w:r>
    </w:p>
    <w:p>
      <w:pPr>
        <w:pStyle w:val="ListParagraph"/>
        <w:numPr>
          <w:ilvl w:val="0"/>
          <w:numId w:val="2"/>
        </w:numPr>
        <w:spacing w:after="40" w:before="40"/>
      </w:pPr>
      <w:r>
        <w:rPr>
          <w:rFonts w:ascii="Arial" w:cs="Arial" w:eastAsia="Arial" w:hAnsi="Arial"/>
          <w:color w:val="1A1A1A"/>
          <w:sz w:val="22"/>
          <w:szCs w:val="22"/>
        </w:rPr>
        <w:t xml:space="preserve">include a documented down-migration (rollback) script;</w:t>
      </w:r>
    </w:p>
    <w:p>
      <w:pPr>
        <w:pStyle w:val="ListParagraph"/>
        <w:numPr>
          <w:ilvl w:val="0"/>
          <w:numId w:val="2"/>
        </w:numPr>
        <w:spacing w:after="40" w:before="40"/>
      </w:pPr>
      <w:r>
        <w:rPr>
          <w:rFonts w:ascii="Arial" w:cs="Arial" w:eastAsia="Arial" w:hAnsi="Arial"/>
          <w:color w:val="1A1A1A"/>
          <w:sz w:val="22"/>
          <w:szCs w:val="22"/>
        </w:rPr>
        <w:t xml:space="preserve">be recorded in the Change Log and version-controlled in the codebase.</w:t>
      </w:r>
    </w:p>
    <w:p>
      <w:pPr>
        <w:pStyle w:val="Heading2"/>
        <w:spacing w:after="120" w:before="280"/>
      </w:pPr>
      <w:r>
        <w:rPr>
          <w:rFonts w:ascii="Arial" w:cs="Arial" w:eastAsia="Arial" w:hAnsi="Arial"/>
          <w:b/>
          <w:bCs/>
          <w:color w:val="1A1A1A"/>
          <w:sz w:val="26"/>
          <w:szCs w:val="26"/>
        </w:rPr>
        <w:t xml:space="preserve">2.6  Dependency and Package Management</w:t>
      </w:r>
    </w:p>
    <w:p>
      <w:pPr>
        <w:spacing w:after="80" w:before="80"/>
      </w:pPr>
      <w:r>
        <w:rPr>
          <w:rFonts w:ascii="Arial" w:cs="Arial" w:eastAsia="Arial" w:hAnsi="Arial"/>
          <w:color w:val="1A1A1A"/>
          <w:sz w:val="22"/>
          <w:szCs w:val="22"/>
        </w:rPr>
        <w:t xml:space="preserve">Third-party dependencies (npm packages, pip packages, etc.) must:</w:t>
      </w:r>
    </w:p>
    <w:p>
      <w:pPr>
        <w:pStyle w:val="ListParagraph"/>
        <w:numPr>
          <w:ilvl w:val="0"/>
          <w:numId w:val="2"/>
        </w:numPr>
        <w:spacing w:after="40" w:before="40"/>
      </w:pPr>
      <w:r>
        <w:rPr>
          <w:rFonts w:ascii="Arial" w:cs="Arial" w:eastAsia="Arial" w:hAnsi="Arial"/>
          <w:color w:val="1A1A1A"/>
          <w:sz w:val="22"/>
          <w:szCs w:val="22"/>
        </w:rPr>
        <w:t>be updated as part of a regular patching cycle - at least monthly for security patches;</w:t>
      </w:r>
    </w:p>
    <w:p>
      <w:pPr>
        <w:pStyle w:val="ListParagraph"/>
        <w:numPr>
          <w:ilvl w:val="0"/>
          <w:numId w:val="2"/>
        </w:numPr>
        <w:spacing w:after="40" w:before="40"/>
      </w:pPr>
      <w:r>
        <w:rPr>
          <w:rFonts w:ascii="Arial" w:cs="Arial" w:eastAsia="Arial" w:hAnsi="Arial"/>
          <w:color w:val="1A1A1A"/>
          <w:sz w:val="22"/>
          <w:szCs w:val="22"/>
        </w:rPr>
        <w:t xml:space="preserve">be scanned for known vulnerabilities using automated tooling in the CI/CD pipeline;</w:t>
      </w:r>
    </w:p>
    <w:p>
      <w:pPr>
        <w:pStyle w:val="ListParagraph"/>
        <w:numPr>
          <w:ilvl w:val="0"/>
          <w:numId w:val="2"/>
        </w:numPr>
        <w:spacing w:after="40" w:before="40"/>
      </w:pPr>
      <w:r>
        <w:rPr>
          <w:rFonts w:ascii="Arial" w:cs="Arial" w:eastAsia="Arial" w:hAnsi="Arial"/>
          <w:color w:val="1A1A1A"/>
          <w:sz w:val="22"/>
          <w:szCs w:val="22"/>
        </w:rPr>
        <w:t xml:space="preserve">not introduce major version upgrades without a Normal Change process;</w:t>
      </w:r>
    </w:p>
    <w:p>
      <w:pPr>
        <w:pStyle w:val="ListParagraph"/>
        <w:numPr>
          <w:ilvl w:val="0"/>
          <w:numId w:val="2"/>
        </w:numPr>
        <w:spacing w:after="40" w:before="40"/>
      </w:pPr>
      <w:r>
        <w:rPr>
          <w:rFonts w:ascii="Arial" w:cs="Arial" w:eastAsia="Arial" w:hAnsi="Arial"/>
          <w:color w:val="1A1A1A"/>
          <w:sz w:val="22"/>
          <w:szCs w:val="22"/>
        </w:rPr>
        <w:t xml:space="preserve">have pinned versions in production configurations to prevent unexpected upstream changes.</w:t>
      </w:r>
    </w:p>
    <w:p>
      <w:pPr>
        <w:shd w:fill="EEF4FB" w:val="clear"/>
        <w:spacing w:after="80" w:before="80"/>
        <w:ind w:left="360" w:right="360"/>
      </w:pPr>
      <w:r>
        <w:rPr>
          <w:rFonts w:ascii="Arial" w:cs="Arial" w:eastAsia="Arial" w:hAnsi="Arial"/>
          <w:i/>
          <w:iCs/>
          <w:color w:val="2F5496"/>
          <w:sz w:val="20"/>
          <w:szCs w:val="20"/>
        </w:rPr>
        <w:t xml:space="preserve">INTERNAL NOTE: ANIMEX's gap list includes lucide-react version pinning as a pre-launch infrastructure fix. This should be resolved before go-live.</w:t>
      </w:r>
    </w:p>
    <w:p>
      <w:pPr>
        <w:pStyle w:val="Heading2"/>
        <w:spacing w:after="120" w:before="280"/>
      </w:pPr>
      <w:r>
        <w:rPr>
          <w:rFonts w:ascii="Arial" w:cs="Arial" w:eastAsia="Arial" w:hAnsi="Arial"/>
          <w:b/>
          <w:bCs/>
          <w:color w:val="1A1A1A"/>
          <w:sz w:val="26"/>
          <w:szCs w:val="26"/>
        </w:rPr>
        <w:t xml:space="preserve">2.7  Configuration and Environment Variables</w:t>
      </w:r>
    </w:p>
    <w:p>
      <w:pPr>
        <w:spacing w:after="80" w:before="80"/>
      </w:pPr>
      <w:r>
        <w:rPr>
          <w:rFonts w:ascii="Arial" w:cs="Arial" w:eastAsia="Arial" w:hAnsi="Arial"/>
          <w:color w:val="1A1A1A"/>
          <w:sz w:val="22"/>
          <w:szCs w:val="22"/>
        </w:rPr>
        <w:t xml:space="preserve">Environment variables, secrets, API keys, database connection strings, and service credentials must:</w:t>
      </w:r>
    </w:p>
    <w:p>
      <w:pPr>
        <w:pStyle w:val="ListParagraph"/>
        <w:numPr>
          <w:ilvl w:val="0"/>
          <w:numId w:val="2"/>
        </w:numPr>
        <w:spacing w:after="40" w:before="40"/>
      </w:pPr>
      <w:r>
        <w:rPr>
          <w:rFonts w:ascii="Arial" w:cs="Arial" w:eastAsia="Arial" w:hAnsi="Arial"/>
          <w:color w:val="1A1A1A"/>
          <w:sz w:val="22"/>
          <w:szCs w:val="22"/>
        </w:rPr>
        <w:t xml:space="preserve">never be committed to source code repositories;</w:t>
      </w:r>
    </w:p>
    <w:p>
      <w:pPr>
        <w:pStyle w:val="ListParagraph"/>
        <w:numPr>
          <w:ilvl w:val="0"/>
          <w:numId w:val="2"/>
        </w:numPr>
        <w:spacing w:after="40" w:before="40"/>
      </w:pPr>
      <w:r>
        <w:rPr>
          <w:rFonts w:ascii="Arial" w:cs="Arial" w:eastAsia="Arial" w:hAnsi="Arial"/>
          <w:color w:val="1A1A1A"/>
          <w:sz w:val="22"/>
          <w:szCs w:val="22"/>
        </w:rPr>
        <w:t xml:space="preserve">be managed via Netlify environment variable management, Supabase secrets, or a dedicated secrets manager;</w:t>
      </w:r>
    </w:p>
    <w:p>
      <w:pPr>
        <w:pStyle w:val="ListParagraph"/>
        <w:numPr>
          <w:ilvl w:val="0"/>
          <w:numId w:val="2"/>
        </w:numPr>
        <w:spacing w:after="40" w:before="40"/>
      </w:pPr>
      <w:r>
        <w:rPr>
          <w:rFonts w:ascii="Arial" w:cs="Arial" w:eastAsia="Arial" w:hAnsi="Arial"/>
          <w:color w:val="1A1A1A"/>
          <w:sz w:val="22"/>
          <w:szCs w:val="22"/>
        </w:rPr>
        <w:t xml:space="preserve">be rotated immediately on suspected compromise;</w:t>
      </w:r>
    </w:p>
    <w:p>
      <w:pPr>
        <w:pStyle w:val="ListParagraph"/>
        <w:numPr>
          <w:ilvl w:val="0"/>
          <w:numId w:val="2"/>
        </w:numPr>
        <w:spacing w:after="40" w:before="40"/>
      </w:pPr>
      <w:r>
        <w:rPr>
          <w:rFonts w:ascii="Arial" w:cs="Arial" w:eastAsia="Arial" w:hAnsi="Arial"/>
          <w:color w:val="1A1A1A"/>
          <w:sz w:val="22"/>
          <w:szCs w:val="22"/>
        </w:rPr>
        <w:t>follow the principle of least privilege - each service uses only the credentials it needs;</w:t>
      </w:r>
    </w:p>
    <w:p>
      <w:pPr>
        <w:pStyle w:val="ListParagraph"/>
        <w:numPr>
          <w:ilvl w:val="0"/>
          <w:numId w:val="2"/>
        </w:numPr>
        <w:spacing w:after="40" w:before="40"/>
      </w:pPr>
      <w:r>
        <w:rPr>
          <w:rFonts w:ascii="Arial" w:cs="Arial" w:eastAsia="Arial" w:hAnsi="Arial"/>
          <w:color w:val="1A1A1A"/>
          <w:sz w:val="22"/>
          <w:szCs w:val="22"/>
        </w:rPr>
        <w:t xml:space="preserve">be documented in a Secrets Register accessible only to CTO and CEO.</w:t>
      </w:r>
    </w:p>
    <w:p>
      <w:pPr>
        <w:shd w:fill="EEF4FB" w:val="clear"/>
        <w:spacing w:after="80" w:before="80"/>
        <w:ind w:left="360" w:right="360"/>
      </w:pPr>
      <w:r>
        <w:rPr>
          <w:rFonts w:ascii="Arial" w:cs="Arial" w:eastAsia="Arial" w:hAnsi="Arial"/>
          <w:i/>
          <w:iCs/>
          <w:color w:val="2F5496"/>
          <w:sz w:val="20"/>
          <w:szCs w:val="20"/>
        </w:rPr>
        <w:t xml:space="preserve">INTERNAL NOTE: ANIMEX's pre-launch remediation includes removing hardcoded Supabase credentials from client.ts and deleting the committed .env file. This must be done before any production deployment.</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3.  Access Control and Identity Management Policy</w:t>
      </w:r>
    </w:p>
    <w:p>
      <w:pPr>
        <w:pStyle w:val="Heading2"/>
        <w:spacing w:after="120" w:before="280"/>
      </w:pPr>
      <w:r>
        <w:rPr>
          <w:rFonts w:ascii="Arial" w:cs="Arial" w:eastAsia="Arial" w:hAnsi="Arial"/>
          <w:b/>
          <w:bCs/>
          <w:color w:val="1A1A1A"/>
          <w:sz w:val="26"/>
          <w:szCs w:val="26"/>
        </w:rPr>
        <w:t xml:space="preserve">3.1  Purpose</w:t>
      </w:r>
    </w:p>
    <w:p>
      <w:pPr>
        <w:spacing w:after="80" w:before="80"/>
      </w:pPr>
      <w:r>
        <w:rPr>
          <w:rFonts w:ascii="Arial" w:cs="Arial" w:eastAsia="Arial" w:hAnsi="Arial"/>
          <w:color w:val="1A1A1A"/>
          <w:sz w:val="22"/>
          <w:szCs w:val="22"/>
        </w:rPr>
        <w:t xml:space="preserve">This policy governs how access to ANIMEX's systems, data, and administrative functions is granted, managed, reviewed, and revoked, in accordance with the principle of least privilege and POPIA's requirement that personal information be protected against unauthorised access.</w:t>
      </w:r>
    </w:p>
    <w:p>
      <w:pPr>
        <w:pStyle w:val="Heading2"/>
        <w:spacing w:after="120" w:before="280"/>
      </w:pPr>
      <w:r>
        <w:rPr>
          <w:rFonts w:ascii="Arial" w:cs="Arial" w:eastAsia="Arial" w:hAnsi="Arial"/>
          <w:b/>
          <w:bCs/>
          <w:color w:val="1A1A1A"/>
          <w:sz w:val="26"/>
          <w:szCs w:val="26"/>
        </w:rPr>
        <w:t xml:space="preserve">3.2  User Provisioning</w:t>
      </w:r>
    </w:p>
    <w:p>
      <w:pPr>
        <w:spacing w:after="80" w:before="80"/>
      </w:pPr>
      <w:r>
        <w:rPr>
          <w:rFonts w:ascii="Arial" w:cs="Arial" w:eastAsia="Arial" w:hAnsi="Arial"/>
          <w:color w:val="1A1A1A"/>
          <w:sz w:val="22"/>
          <w:szCs w:val="22"/>
        </w:rPr>
        <w:t xml:space="preserve">Access to ANIMEX production systems is provisioned by the CTO:</w:t>
      </w:r>
    </w:p>
    <w:p>
      <w:pPr>
        <w:pStyle w:val="ListParagraph"/>
        <w:numPr>
          <w:ilvl w:val="0"/>
          <w:numId w:val="2"/>
        </w:numPr>
        <w:spacing w:after="40" w:before="40"/>
      </w:pPr>
      <w:r>
        <w:rPr>
          <w:rFonts w:ascii="Arial" w:cs="Arial" w:eastAsia="Arial" w:hAnsi="Arial"/>
          <w:color w:val="1A1A1A"/>
          <w:sz w:val="22"/>
          <w:szCs w:val="22"/>
        </w:rPr>
        <w:t xml:space="preserve">only on receipt of a documented access request stating the systems required, the business justification, the access level requested, and manager approval;</w:t>
      </w:r>
    </w:p>
    <w:p>
      <w:pPr>
        <w:pStyle w:val="ListParagraph"/>
        <w:numPr>
          <w:ilvl w:val="0"/>
          <w:numId w:val="2"/>
        </w:numPr>
        <w:spacing w:after="40" w:before="40"/>
      </w:pPr>
      <w:r>
        <w:rPr>
          <w:rFonts w:ascii="Arial" w:cs="Arial" w:eastAsia="Arial" w:hAnsi="Arial"/>
          <w:color w:val="1A1A1A"/>
          <w:sz w:val="22"/>
          <w:szCs w:val="22"/>
        </w:rPr>
        <w:t>using role-based access control (RBAC) - individual access is assigned based on their role level (see Admin and Staff AUP, Compliance Pack, Section 4);</w:t>
      </w:r>
    </w:p>
    <w:p>
      <w:pPr>
        <w:pStyle w:val="ListParagraph"/>
        <w:numPr>
          <w:ilvl w:val="0"/>
          <w:numId w:val="2"/>
        </w:numPr>
        <w:spacing w:after="40" w:before="40"/>
      </w:pPr>
      <w:r>
        <w:rPr>
          <w:rFonts w:ascii="Arial" w:cs="Arial" w:eastAsia="Arial" w:hAnsi="Arial"/>
          <w:color w:val="1A1A1A"/>
          <w:sz w:val="22"/>
          <w:szCs w:val="22"/>
        </w:rPr>
        <w:t xml:space="preserve">with MFA enforced for all accounts with access to Critical-classified assets;</w:t>
      </w:r>
    </w:p>
    <w:p>
      <w:pPr>
        <w:pStyle w:val="ListParagraph"/>
        <w:numPr>
          <w:ilvl w:val="0"/>
          <w:numId w:val="2"/>
        </w:numPr>
        <w:spacing w:after="40" w:before="40"/>
      </w:pPr>
      <w:r>
        <w:rPr>
          <w:rFonts w:ascii="Arial" w:cs="Arial" w:eastAsia="Arial" w:hAnsi="Arial"/>
          <w:color w:val="1A1A1A"/>
          <w:sz w:val="22"/>
          <w:szCs w:val="22"/>
        </w:rPr>
        <w:t xml:space="preserve">with access logged in the Access Register: name, role, systems granted, date granted, date reviewed, date revoked.</w:t>
      </w:r>
    </w:p>
    <w:p>
      <w:pPr>
        <w:pStyle w:val="Heading2"/>
        <w:spacing w:after="120" w:before="280"/>
      </w:pPr>
      <w:r>
        <w:rPr>
          <w:rFonts w:ascii="Arial" w:cs="Arial" w:eastAsia="Arial" w:hAnsi="Arial"/>
          <w:b/>
          <w:bCs/>
          <w:color w:val="1A1A1A"/>
          <w:sz w:val="26"/>
          <w:szCs w:val="26"/>
        </w:rPr>
        <w:t>3.3  Access Levels - Platform</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Role</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Access Scope</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Controls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Super Admin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Full read/write across all Platform functions: user bans, payout release, fee config, role assignment, policy override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CEO and CTO only; MFA mandatory; all actions audit-logged</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Admin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management, Listing moderation, dispute management, payout holds, support escalation</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Senior operations; MFA mandatory; dual approval for fund actions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Support Agent</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account viewing, messaging access, dispute viewing, support ticket management</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Support staff; read-only for payment data; no payout access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Auditor</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Read-only access to audit logs, transaction logs, financial records, dispute records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Finance/compliance; no write access to any system</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Developer - Production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Code deployment via CI/CD pipeline; limited direct production access; no raw personal data access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Engineering; MFA mandatory; access via PR approval only; no production DB direct write without change management process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Developer - Staging/Dev</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Full access to staging and development environments only</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Engineering; synthetic data only in non-production environments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Welfare Partner / Vet Partner</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Own listings, own adoption applications, assigned User interactions only</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External Partners; scoped to their own data only</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3.4  Supabase Row Level Security</w:t>
      </w:r>
    </w:p>
    <w:p>
      <w:pPr>
        <w:spacing w:after="80" w:before="80"/>
      </w:pPr>
      <w:r>
        <w:rPr>
          <w:rFonts w:ascii="Arial" w:cs="Arial" w:eastAsia="Arial" w:hAnsi="Arial"/>
          <w:color w:val="1A1A1A"/>
          <w:sz w:val="22"/>
          <w:szCs w:val="22"/>
        </w:rPr>
        <w:t xml:space="preserve">ANIMEX's Supabase PostgreSQL database must enforce Row Level Security (RLS) policies ensuring:</w:t>
      </w:r>
    </w:p>
    <w:p>
      <w:pPr>
        <w:pStyle w:val="ListParagraph"/>
        <w:numPr>
          <w:ilvl w:val="0"/>
          <w:numId w:val="2"/>
        </w:numPr>
        <w:spacing w:after="40" w:before="40"/>
      </w:pPr>
      <w:r>
        <w:rPr>
          <w:rFonts w:ascii="Arial" w:cs="Arial" w:eastAsia="Arial" w:hAnsi="Arial"/>
          <w:color w:val="1A1A1A"/>
          <w:sz w:val="22"/>
          <w:szCs w:val="22"/>
        </w:rPr>
        <w:t xml:space="preserve">Users can access only their own records unless their role explicitly permits wider access;</w:t>
      </w:r>
    </w:p>
    <w:p>
      <w:pPr>
        <w:pStyle w:val="ListParagraph"/>
        <w:numPr>
          <w:ilvl w:val="0"/>
          <w:numId w:val="2"/>
        </w:numPr>
        <w:spacing w:after="40" w:before="40"/>
      </w:pPr>
      <w:r>
        <w:rPr>
          <w:rFonts w:ascii="Arial" w:cs="Arial" w:eastAsia="Arial" w:hAnsi="Arial"/>
          <w:color w:val="1A1A1A"/>
          <w:sz w:val="22"/>
          <w:szCs w:val="22"/>
        </w:rPr>
        <w:t>Admin roles access is scoped to Platform operations - admin accounts must not bypass RLS for bulk data extraction;</w:t>
      </w:r>
    </w:p>
    <w:p>
      <w:pPr>
        <w:pStyle w:val="ListParagraph"/>
        <w:numPr>
          <w:ilvl w:val="0"/>
          <w:numId w:val="2"/>
        </w:numPr>
        <w:spacing w:after="40" w:before="40"/>
      </w:pPr>
      <w:r>
        <w:rPr>
          <w:rFonts w:ascii="Arial" w:cs="Arial" w:eastAsia="Arial" w:hAnsi="Arial"/>
          <w:color w:val="1A1A1A"/>
          <w:sz w:val="22"/>
          <w:szCs w:val="22"/>
        </w:rPr>
        <w:t xml:space="preserve">No API endpoint returns personal information from other Users without explicit authorisation logic;</w:t>
      </w:r>
    </w:p>
    <w:p>
      <w:pPr>
        <w:pStyle w:val="ListParagraph"/>
        <w:numPr>
          <w:ilvl w:val="0"/>
          <w:numId w:val="2"/>
        </w:numPr>
        <w:spacing w:after="40" w:before="40"/>
      </w:pPr>
      <w:r>
        <w:rPr>
          <w:rFonts w:ascii="Arial" w:cs="Arial" w:eastAsia="Arial" w:hAnsi="Arial"/>
          <w:color w:val="1A1A1A"/>
          <w:sz w:val="22"/>
          <w:szCs w:val="22"/>
        </w:rPr>
        <w:t>Edge Functions that process User data enforce JWT verification - verify_jwt = false must not be used on personal-information or payment functions unless technically required and replaced with documented in-function authentication, authorisation, signature/IP validation, idempotency, and least-privilege service-role controls;</w:t>
      </w:r>
    </w:p>
    <w:p>
      <w:pPr>
        <w:pStyle w:val="ListParagraph"/>
        <w:numPr>
          <w:ilvl w:val="0"/>
          <w:numId w:val="2"/>
        </w:numPr>
        <w:spacing w:after="40" w:before="40"/>
      </w:pPr>
      <w:r>
        <w:rPr>
          <w:rFonts w:ascii="Arial" w:cs="Arial" w:eastAsia="Arial" w:hAnsi="Arial"/>
          <w:color w:val="1A1A1A"/>
          <w:sz w:val="22"/>
          <w:szCs w:val="22"/>
        </w:rPr>
        <w:t xml:space="preserve">All RLS policy changes are treated as security-critical changes under the Change Management Policy.</w:t>
      </w:r>
    </w:p>
    <w:p>
      <w:pPr>
        <w:shd w:fill="EEF4FB" w:val="clear"/>
        <w:spacing w:after="80" w:before="80"/>
        <w:ind w:left="360" w:right="360"/>
      </w:pPr>
      <w:r>
        <w:rPr>
          <w:rFonts w:ascii="Arial" w:cs="Arial" w:eastAsia="Arial" w:hAnsi="Arial"/>
          <w:i/>
          <w:iCs/>
          <w:color w:val="2F5496"/>
          <w:sz w:val="20"/>
          <w:szCs w:val="20"/>
        </w:rPr>
        <w:t>INTERNAL NOTE: ANIMEX's pre-launch remediation includes fixing verify_jwt = false on multiple Supabase Edge Functions, requiring function-specific compensating controls and authentication review. This is a Critical security fix - it must be resolved before go-live.</w:t>
      </w:r>
    </w:p>
    <w:p>
      <w:pPr>
        <w:pStyle w:val="Heading2"/>
        <w:spacing w:after="120" w:before="280"/>
      </w:pPr>
      <w:r>
        <w:rPr>
          <w:rFonts w:ascii="Arial" w:cs="Arial" w:eastAsia="Arial" w:hAnsi="Arial"/>
          <w:b/>
          <w:bCs/>
          <w:color w:val="1A1A1A"/>
          <w:sz w:val="26"/>
          <w:szCs w:val="26"/>
        </w:rPr>
        <w:t xml:space="preserve">3.5  Privileged Access Management</w:t>
      </w:r>
    </w:p>
    <w:p>
      <w:pPr>
        <w:spacing w:after="80" w:before="80"/>
      </w:pPr>
      <w:r>
        <w:rPr>
          <w:rFonts w:ascii="Arial" w:cs="Arial" w:eastAsia="Arial" w:hAnsi="Arial"/>
          <w:color w:val="1A1A1A"/>
          <w:sz w:val="22"/>
          <w:szCs w:val="22"/>
        </w:rPr>
        <w:t xml:space="preserve">Privileged access (Super Admin, Admin, production database direct access) must:</w:t>
      </w:r>
    </w:p>
    <w:p>
      <w:pPr>
        <w:pStyle w:val="ListParagraph"/>
        <w:numPr>
          <w:ilvl w:val="0"/>
          <w:numId w:val="2"/>
        </w:numPr>
        <w:spacing w:after="40" w:before="40"/>
      </w:pPr>
      <w:r>
        <w:rPr>
          <w:rFonts w:ascii="Arial" w:cs="Arial" w:eastAsia="Arial" w:hAnsi="Arial"/>
          <w:color w:val="1A1A1A"/>
          <w:sz w:val="22"/>
          <w:szCs w:val="22"/>
        </w:rPr>
        <w:t xml:space="preserve">be granted to the minimum number of persons necessary;</w:t>
      </w:r>
    </w:p>
    <w:p>
      <w:pPr>
        <w:pStyle w:val="ListParagraph"/>
        <w:numPr>
          <w:ilvl w:val="0"/>
          <w:numId w:val="2"/>
        </w:numPr>
        <w:spacing w:after="40" w:before="40"/>
      </w:pPr>
      <w:r>
        <w:rPr>
          <w:rFonts w:ascii="Arial" w:cs="Arial" w:eastAsia="Arial" w:hAnsi="Arial"/>
          <w:color w:val="1A1A1A"/>
          <w:sz w:val="22"/>
          <w:szCs w:val="22"/>
        </w:rPr>
        <w:t xml:space="preserve">require MFA for every session;</w:t>
      </w:r>
    </w:p>
    <w:p>
      <w:pPr>
        <w:pStyle w:val="ListParagraph"/>
        <w:numPr>
          <w:ilvl w:val="0"/>
          <w:numId w:val="2"/>
        </w:numPr>
        <w:spacing w:after="40" w:before="40"/>
      </w:pPr>
      <w:r>
        <w:rPr>
          <w:rFonts w:ascii="Arial" w:cs="Arial" w:eastAsia="Arial" w:hAnsi="Arial"/>
          <w:color w:val="1A1A1A"/>
          <w:sz w:val="22"/>
          <w:szCs w:val="22"/>
        </w:rPr>
        <w:t xml:space="preserve">generate a comprehensive audit trail for every action;</w:t>
      </w:r>
    </w:p>
    <w:p>
      <w:pPr>
        <w:pStyle w:val="ListParagraph"/>
        <w:numPr>
          <w:ilvl w:val="0"/>
          <w:numId w:val="2"/>
        </w:numPr>
        <w:spacing w:after="40" w:before="40"/>
      </w:pPr>
      <w:r>
        <w:rPr>
          <w:rFonts w:ascii="Arial" w:cs="Arial" w:eastAsia="Arial" w:hAnsi="Arial"/>
          <w:color w:val="1A1A1A"/>
          <w:sz w:val="22"/>
          <w:szCs w:val="22"/>
        </w:rPr>
        <w:t>be reviewed quarterly - the CTO must confirm that each privileged account holder still requires their level of access;</w:t>
      </w:r>
    </w:p>
    <w:p>
      <w:pPr>
        <w:pStyle w:val="ListParagraph"/>
        <w:numPr>
          <w:ilvl w:val="0"/>
          <w:numId w:val="2"/>
        </w:numPr>
        <w:spacing w:after="40" w:before="40"/>
      </w:pPr>
      <w:r>
        <w:rPr>
          <w:rFonts w:ascii="Arial" w:cs="Arial" w:eastAsia="Arial" w:hAnsi="Arial"/>
          <w:color w:val="1A1A1A"/>
          <w:sz w:val="22"/>
          <w:szCs w:val="22"/>
        </w:rPr>
        <w:t xml:space="preserve">be revoked immediately on change of role, end of employment, or any security concern.</w:t>
      </w:r>
    </w:p>
    <w:p>
      <w:pPr>
        <w:pStyle w:val="Heading2"/>
        <w:spacing w:after="120" w:before="280"/>
      </w:pPr>
      <w:r>
        <w:rPr>
          <w:rFonts w:ascii="Arial" w:cs="Arial" w:eastAsia="Arial" w:hAnsi="Arial"/>
          <w:b/>
          <w:bCs/>
          <w:color w:val="1A1A1A"/>
          <w:sz w:val="26"/>
          <w:szCs w:val="26"/>
        </w:rPr>
        <w:t xml:space="preserve">3.6  Access Reviews</w:t>
      </w:r>
    </w:p>
    <w:p>
      <w:pPr>
        <w:spacing w:after="80" w:before="80"/>
      </w:pPr>
      <w:r>
        <w:rPr>
          <w:rFonts w:ascii="Arial" w:cs="Arial" w:eastAsia="Arial" w:hAnsi="Arial"/>
          <w:color w:val="1A1A1A"/>
          <w:sz w:val="22"/>
          <w:szCs w:val="22"/>
        </w:rPr>
        <w:t xml:space="preserve">The CTO must conduct a formal access review:</w:t>
      </w:r>
    </w:p>
    <w:p>
      <w:pPr>
        <w:pStyle w:val="ListParagraph"/>
        <w:numPr>
          <w:ilvl w:val="0"/>
          <w:numId w:val="2"/>
        </w:numPr>
        <w:spacing w:after="40" w:before="40"/>
      </w:pPr>
      <w:r>
        <w:rPr>
          <w:rFonts w:ascii="Arial" w:cs="Arial" w:eastAsia="Arial" w:hAnsi="Arial"/>
          <w:color w:val="1A1A1A"/>
          <w:sz w:val="22"/>
          <w:szCs w:val="22"/>
        </w:rPr>
        <w:t xml:space="preserve">quarterly for Critical system access;</w:t>
      </w:r>
    </w:p>
    <w:p>
      <w:pPr>
        <w:pStyle w:val="ListParagraph"/>
        <w:numPr>
          <w:ilvl w:val="0"/>
          <w:numId w:val="2"/>
        </w:numPr>
        <w:spacing w:after="40" w:before="40"/>
      </w:pPr>
      <w:r>
        <w:rPr>
          <w:rFonts w:ascii="Arial" w:cs="Arial" w:eastAsia="Arial" w:hAnsi="Arial"/>
          <w:color w:val="1A1A1A"/>
          <w:sz w:val="22"/>
          <w:szCs w:val="22"/>
        </w:rPr>
        <w:t xml:space="preserve">every 6 months for all other production access;</w:t>
      </w:r>
    </w:p>
    <w:p>
      <w:pPr>
        <w:pStyle w:val="ListParagraph"/>
        <w:numPr>
          <w:ilvl w:val="0"/>
          <w:numId w:val="2"/>
        </w:numPr>
        <w:spacing w:after="40" w:before="40"/>
      </w:pPr>
      <w:r>
        <w:rPr>
          <w:rFonts w:ascii="Arial" w:cs="Arial" w:eastAsia="Arial" w:hAnsi="Arial"/>
          <w:color w:val="1A1A1A"/>
          <w:sz w:val="22"/>
          <w:szCs w:val="22"/>
        </w:rPr>
        <w:t xml:space="preserve">immediately following any security incident or suspected compromise;</w:t>
      </w:r>
    </w:p>
    <w:p>
      <w:pPr>
        <w:pStyle w:val="ListParagraph"/>
        <w:numPr>
          <w:ilvl w:val="0"/>
          <w:numId w:val="2"/>
        </w:numPr>
        <w:spacing w:after="40" w:before="40"/>
      </w:pPr>
      <w:r>
        <w:rPr>
          <w:rFonts w:ascii="Arial" w:cs="Arial" w:eastAsia="Arial" w:hAnsi="Arial"/>
          <w:color w:val="1A1A1A"/>
          <w:sz w:val="22"/>
          <w:szCs w:val="22"/>
        </w:rPr>
        <w:t xml:space="preserve">within 48 hours of any Staff departure.</w:t>
      </w:r>
    </w:p>
    <w:p>
      <w:pPr>
        <w:spacing w:after="80" w:before="80"/>
      </w:pPr>
      <w:r>
        <w:rPr>
          <w:rFonts w:ascii="Arial" w:cs="Arial" w:eastAsia="Arial" w:hAnsi="Arial"/>
          <w:color w:val="1A1A1A"/>
          <w:sz w:val="22"/>
          <w:szCs w:val="22"/>
        </w:rPr>
        <w:t xml:space="preserve">Access review results must be documented in the Access Register. Accounts that fail review must be suspended or downgraded within 24 hours.</w:t>
      </w:r>
    </w:p>
    <w:p>
      <w:pPr>
        <w:pStyle w:val="Heading2"/>
        <w:spacing w:after="120" w:before="280"/>
      </w:pPr>
      <w:r>
        <w:rPr>
          <w:rFonts w:ascii="Arial" w:cs="Arial" w:eastAsia="Arial" w:hAnsi="Arial"/>
          <w:b/>
          <w:bCs/>
          <w:color w:val="1A1A1A"/>
          <w:sz w:val="26"/>
          <w:szCs w:val="26"/>
        </w:rPr>
        <w:t xml:space="preserve">3.7  Offboarding</w:t>
      </w:r>
    </w:p>
    <w:p>
      <w:pPr>
        <w:spacing w:after="80" w:before="80"/>
      </w:pPr>
      <w:r>
        <w:rPr>
          <w:rFonts w:ascii="Arial" w:cs="Arial" w:eastAsia="Arial" w:hAnsi="Arial"/>
          <w:color w:val="1A1A1A"/>
          <w:sz w:val="22"/>
          <w:szCs w:val="22"/>
        </w:rPr>
        <w:t xml:space="preserve">On termination of any Staff member or contractor:</w:t>
      </w:r>
    </w:p>
    <w:p>
      <w:pPr>
        <w:pStyle w:val="ListParagraph"/>
        <w:numPr>
          <w:ilvl w:val="0"/>
          <w:numId w:val="3"/>
        </w:numPr>
        <w:spacing w:after="40" w:before="40"/>
      </w:pPr>
      <w:r>
        <w:rPr>
          <w:rFonts w:ascii="Arial" w:cs="Arial" w:eastAsia="Arial" w:hAnsi="Arial"/>
          <w:color w:val="1A1A1A"/>
          <w:sz w:val="22"/>
          <w:szCs w:val="22"/>
        </w:rPr>
        <w:t xml:space="preserve">All system access must be revoked within 1 (one) hour of the termination being confirmed.</w:t>
      </w:r>
    </w:p>
    <w:p>
      <w:pPr>
        <w:pStyle w:val="ListParagraph"/>
        <w:numPr>
          <w:ilvl w:val="0"/>
          <w:numId w:val="3"/>
        </w:numPr>
        <w:spacing w:after="40" w:before="40"/>
      </w:pPr>
      <w:r>
        <w:rPr>
          <w:rFonts w:ascii="Arial" w:cs="Arial" w:eastAsia="Arial" w:hAnsi="Arial"/>
          <w:color w:val="1A1A1A"/>
          <w:sz w:val="22"/>
          <w:szCs w:val="22"/>
        </w:rPr>
        <w:t xml:space="preserve">All API keys, service accounts, or shared credentials associated with the person must be rotated immediately.</w:t>
      </w:r>
    </w:p>
    <w:p>
      <w:pPr>
        <w:pStyle w:val="ListParagraph"/>
        <w:numPr>
          <w:ilvl w:val="0"/>
          <w:numId w:val="3"/>
        </w:numPr>
        <w:spacing w:after="40" w:before="40"/>
      </w:pPr>
      <w:r>
        <w:rPr>
          <w:rFonts w:ascii="Arial" w:cs="Arial" w:eastAsia="Arial" w:hAnsi="Arial"/>
          <w:color w:val="1A1A1A"/>
          <w:sz w:val="22"/>
          <w:szCs w:val="22"/>
        </w:rPr>
        <w:t xml:space="preserve">The person's access tokens, sessions, and authentication methods must be invalidated.</w:t>
      </w:r>
    </w:p>
    <w:p>
      <w:pPr>
        <w:pStyle w:val="ListParagraph"/>
        <w:numPr>
          <w:ilvl w:val="0"/>
          <w:numId w:val="3"/>
        </w:numPr>
        <w:spacing w:after="40" w:before="40"/>
      </w:pPr>
      <w:r>
        <w:rPr>
          <w:rFonts w:ascii="Arial" w:cs="Arial" w:eastAsia="Arial" w:hAnsi="Arial"/>
          <w:color w:val="1A1A1A"/>
          <w:sz w:val="22"/>
          <w:szCs w:val="22"/>
        </w:rPr>
        <w:t xml:space="preserve">The CTO must confirm access revocation in writing to the CEO and Information Officer within 24 hours.</w:t>
      </w:r>
    </w:p>
    <w:p>
      <w:pPr>
        <w:pStyle w:val="ListParagraph"/>
        <w:numPr>
          <w:ilvl w:val="0"/>
          <w:numId w:val="3"/>
        </w:numPr>
        <w:spacing w:after="40" w:before="40"/>
      </w:pPr>
      <w:r>
        <w:rPr>
          <w:rFonts w:ascii="Arial" w:cs="Arial" w:eastAsia="Arial" w:hAnsi="Arial"/>
          <w:color w:val="1A1A1A"/>
          <w:sz w:val="22"/>
          <w:szCs w:val="22"/>
        </w:rPr>
        <w:t xml:space="preserve">The Access Register must be updated.</w:t>
      </w:r>
    </w:p>
    <w:p>
      <w:pPr>
        <w:spacing w:after="80" w:before="80"/>
      </w:pPr>
      <w:r>
        <w:rPr>
          <w:rFonts w:ascii="Arial" w:cs="Arial" w:eastAsia="Arial" w:hAnsi="Arial"/>
          <w:color w:val="1A1A1A"/>
          <w:sz w:val="22"/>
          <w:szCs w:val="22"/>
        </w:rPr>
        <w:t xml:space="preserve">Delayed offboarding access revocation is a disciplinary offence for the responsible manager.</w:t>
      </w:r>
    </w:p>
    <w:p>
      <w:pPr>
        <w:pStyle w:val="Heading2"/>
        <w:spacing w:after="120" w:before="280"/>
      </w:pPr>
      <w:r>
        <w:rPr>
          <w:rFonts w:ascii="Arial" w:cs="Arial" w:eastAsia="Arial" w:hAnsi="Arial"/>
          <w:b/>
          <w:bCs/>
          <w:color w:val="1A1A1A"/>
          <w:sz w:val="26"/>
          <w:szCs w:val="26"/>
        </w:rPr>
        <w:t xml:space="preserve">3.8  Service Accounts and API Keys</w:t>
      </w:r>
    </w:p>
    <w:p>
      <w:pPr>
        <w:spacing w:after="80" w:before="80"/>
      </w:pPr>
      <w:r>
        <w:rPr>
          <w:rFonts w:ascii="Arial" w:cs="Arial" w:eastAsia="Arial" w:hAnsi="Arial"/>
          <w:color w:val="1A1A1A"/>
          <w:sz w:val="22"/>
          <w:szCs w:val="22"/>
        </w:rPr>
        <w:t xml:space="preserve">Service accounts and API keys used for system-to-system authentication must:</w:t>
      </w:r>
    </w:p>
    <w:p>
      <w:pPr>
        <w:pStyle w:val="ListParagraph"/>
        <w:numPr>
          <w:ilvl w:val="0"/>
          <w:numId w:val="2"/>
        </w:numPr>
        <w:spacing w:after="40" w:before="40"/>
      </w:pPr>
      <w:r>
        <w:rPr>
          <w:rFonts w:ascii="Arial" w:cs="Arial" w:eastAsia="Arial" w:hAnsi="Arial"/>
          <w:color w:val="1A1A1A"/>
          <w:sz w:val="22"/>
          <w:szCs w:val="22"/>
        </w:rPr>
        <w:t>follow least privilege - each service account has only the permissions needed for its specific function;</w:t>
      </w:r>
    </w:p>
    <w:p>
      <w:pPr>
        <w:pStyle w:val="ListParagraph"/>
        <w:numPr>
          <w:ilvl w:val="0"/>
          <w:numId w:val="2"/>
        </w:numPr>
        <w:spacing w:after="40" w:before="40"/>
      </w:pPr>
      <w:r>
        <w:rPr>
          <w:rFonts w:ascii="Arial" w:cs="Arial" w:eastAsia="Arial" w:hAnsi="Arial"/>
          <w:color w:val="1A1A1A"/>
          <w:sz w:val="22"/>
          <w:szCs w:val="22"/>
        </w:rPr>
        <w:t xml:space="preserve">not be shared across services or environments;</w:t>
      </w:r>
    </w:p>
    <w:p>
      <w:pPr>
        <w:pStyle w:val="ListParagraph"/>
        <w:numPr>
          <w:ilvl w:val="0"/>
          <w:numId w:val="2"/>
        </w:numPr>
        <w:spacing w:after="40" w:before="40"/>
      </w:pPr>
      <w:r>
        <w:rPr>
          <w:rFonts w:ascii="Arial" w:cs="Arial" w:eastAsia="Arial" w:hAnsi="Arial"/>
          <w:color w:val="1A1A1A"/>
          <w:sz w:val="22"/>
          <w:szCs w:val="22"/>
        </w:rPr>
        <w:t xml:space="preserve">be rotated on a schedule of no longer than 12 (twelve) months, or immediately on suspected compromise;</w:t>
      </w:r>
    </w:p>
    <w:p>
      <w:pPr>
        <w:pStyle w:val="ListParagraph"/>
        <w:numPr>
          <w:ilvl w:val="0"/>
          <w:numId w:val="2"/>
        </w:numPr>
        <w:spacing w:after="40" w:before="40"/>
      </w:pPr>
      <w:r>
        <w:rPr>
          <w:rFonts w:ascii="Arial" w:cs="Arial" w:eastAsia="Arial" w:hAnsi="Arial"/>
          <w:color w:val="1A1A1A"/>
          <w:sz w:val="22"/>
          <w:szCs w:val="22"/>
        </w:rPr>
        <w:t xml:space="preserve">be documented in the Secrets Register (CTO access only);</w:t>
      </w:r>
    </w:p>
    <w:p>
      <w:pPr>
        <w:pStyle w:val="ListParagraph"/>
        <w:numPr>
          <w:ilvl w:val="0"/>
          <w:numId w:val="2"/>
        </w:numPr>
        <w:spacing w:after="40" w:before="40"/>
      </w:pPr>
      <w:r>
        <w:rPr>
          <w:rFonts w:ascii="Arial" w:cs="Arial" w:eastAsia="Arial" w:hAnsi="Arial"/>
          <w:color w:val="1A1A1A"/>
          <w:sz w:val="22"/>
          <w:szCs w:val="22"/>
        </w:rPr>
        <w:t xml:space="preserve">never be embedded in client-side code or exposed in public repositories.</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4.  Penetration Testing and Vulnerability Management Policy</w:t>
      </w:r>
    </w:p>
    <w:p>
      <w:pPr>
        <w:pStyle w:val="Heading2"/>
        <w:spacing w:after="120" w:before="280"/>
      </w:pPr>
      <w:r>
        <w:rPr>
          <w:rFonts w:ascii="Arial" w:cs="Arial" w:eastAsia="Arial" w:hAnsi="Arial"/>
          <w:b/>
          <w:bCs/>
          <w:color w:val="1A1A1A"/>
          <w:sz w:val="26"/>
          <w:szCs w:val="26"/>
        </w:rPr>
        <w:t xml:space="preserve">4.1  Purpose</w:t>
      </w:r>
    </w:p>
    <w:p>
      <w:pPr>
        <w:spacing w:after="80" w:before="80"/>
      </w:pPr>
      <w:r>
        <w:rPr>
          <w:rFonts w:ascii="Arial" w:cs="Arial" w:eastAsia="Arial" w:hAnsi="Arial"/>
          <w:color w:val="1A1A1A"/>
          <w:sz w:val="22"/>
          <w:szCs w:val="22"/>
        </w:rPr>
        <w:t xml:space="preserve">This policy establishes ANIMEX's approach to identifying and remediating security vulnerabilities through proactive testing and continuous monitoring. Given that ANIMEX processes User personal information and facilitates payment transactions, robust vulnerability management is a POPIA compliance requirement and a business necessity.</w:t>
      </w:r>
    </w:p>
    <w:p>
      <w:pPr>
        <w:pStyle w:val="Heading2"/>
        <w:spacing w:after="120" w:before="280"/>
      </w:pPr>
      <w:r>
        <w:rPr>
          <w:rFonts w:ascii="Arial" w:cs="Arial" w:eastAsia="Arial" w:hAnsi="Arial"/>
          <w:b/>
          <w:bCs/>
          <w:color w:val="1A1A1A"/>
          <w:sz w:val="26"/>
          <w:szCs w:val="26"/>
        </w:rPr>
        <w:t xml:space="preserve">4.2  Vulnerability Scanning</w:t>
      </w:r>
    </w:p>
    <w:p>
      <w:pPr>
        <w:spacing w:after="80" w:before="80"/>
      </w:pPr>
      <w:r>
        <w:rPr>
          <w:rFonts w:ascii="Arial" w:cs="Arial" w:eastAsia="Arial" w:hAnsi="Arial"/>
          <w:color w:val="1A1A1A"/>
          <w:sz w:val="22"/>
          <w:szCs w:val="22"/>
        </w:rPr>
        <w:t xml:space="preserve">ANIMEX must implement automated vulnerability scanning:</w:t>
      </w:r>
    </w:p>
    <w:p>
      <w:pPr>
        <w:pStyle w:val="ListParagraph"/>
        <w:numPr>
          <w:ilvl w:val="0"/>
          <w:numId w:val="2"/>
        </w:numPr>
        <w:spacing w:after="40" w:before="40"/>
      </w:pPr>
      <w:r>
        <w:rPr>
          <w:rFonts w:ascii="Arial" w:cs="Arial" w:eastAsia="Arial" w:hAnsi="Arial"/>
          <w:color w:val="1A1A1A"/>
          <w:sz w:val="22"/>
          <w:szCs w:val="22"/>
        </w:rPr>
        <w:t>dependency vulnerability scanning in the CI/CD pipeline on every code commit - blocking deployment of code with known critical or high vulnerabilities without explicit CTO sign-off;</w:t>
      </w:r>
    </w:p>
    <w:p>
      <w:pPr>
        <w:pStyle w:val="ListParagraph"/>
        <w:numPr>
          <w:ilvl w:val="0"/>
          <w:numId w:val="2"/>
        </w:numPr>
        <w:spacing w:after="40" w:before="40"/>
      </w:pPr>
      <w:r>
        <w:rPr>
          <w:rFonts w:ascii="Arial" w:cs="Arial" w:eastAsia="Arial" w:hAnsi="Arial"/>
          <w:color w:val="1A1A1A"/>
          <w:sz w:val="22"/>
          <w:szCs w:val="22"/>
        </w:rPr>
        <w:t xml:space="preserve">weekly automated infrastructure vulnerability scans of all production-facing components;</w:t>
      </w:r>
    </w:p>
    <w:p>
      <w:pPr>
        <w:pStyle w:val="ListParagraph"/>
        <w:numPr>
          <w:ilvl w:val="0"/>
          <w:numId w:val="2"/>
        </w:numPr>
        <w:spacing w:after="40" w:before="40"/>
      </w:pPr>
      <w:r>
        <w:rPr>
          <w:rFonts w:ascii="Arial" w:cs="Arial" w:eastAsia="Arial" w:hAnsi="Arial"/>
          <w:color w:val="1A1A1A"/>
          <w:sz w:val="22"/>
          <w:szCs w:val="22"/>
        </w:rPr>
        <w:t xml:space="preserve">automated scanning of npm and other package manifests against current CVE databases;</w:t>
      </w:r>
    </w:p>
    <w:p>
      <w:pPr>
        <w:pStyle w:val="ListParagraph"/>
        <w:numPr>
          <w:ilvl w:val="0"/>
          <w:numId w:val="2"/>
        </w:numPr>
        <w:spacing w:after="40" w:before="40"/>
      </w:pPr>
      <w:r>
        <w:rPr>
          <w:rFonts w:ascii="Arial" w:cs="Arial" w:eastAsia="Arial" w:hAnsi="Arial"/>
          <w:color w:val="1A1A1A"/>
          <w:sz w:val="22"/>
          <w:szCs w:val="22"/>
        </w:rPr>
        <w:t xml:space="preserve">DNS and SSL/TLS certificate monitoring with automated alerts on expiry, misconfiguration, or downgrade;</w:t>
      </w:r>
    </w:p>
    <w:p>
      <w:pPr>
        <w:pStyle w:val="ListParagraph"/>
        <w:numPr>
          <w:ilvl w:val="0"/>
          <w:numId w:val="2"/>
        </w:numPr>
        <w:spacing w:after="40" w:before="40"/>
      </w:pPr>
      <w:r>
        <w:rPr>
          <w:rFonts w:ascii="Arial" w:cs="Arial" w:eastAsia="Arial" w:hAnsi="Arial"/>
          <w:color w:val="1A1A1A"/>
          <w:sz w:val="22"/>
          <w:szCs w:val="22"/>
        </w:rPr>
        <w:t>Content Security Policy header validation - ANIMEX must enforce a full CSP in enforcement mode (not report-only) before go-live.</w:t>
      </w:r>
    </w:p>
    <w:p>
      <w:pPr>
        <w:shd w:fill="EEF4FB" w:val="clear"/>
        <w:spacing w:after="80" w:before="80"/>
        <w:ind w:left="360" w:right="360"/>
      </w:pPr>
      <w:r>
        <w:rPr>
          <w:rFonts w:ascii="Arial" w:cs="Arial" w:eastAsia="Arial" w:hAnsi="Arial"/>
          <w:i/>
          <w:iCs/>
          <w:color w:val="2F5496"/>
          <w:sz w:val="20"/>
          <w:szCs w:val="20"/>
        </w:rPr>
        <w:t>INTERNAL NOTE: The supplied netlify.toml contains a Content-Security-Policy header in enforcement mode. Before go-live, test it against production domains, confirm violation monitoring, and remove development-only frame-ancestors such as Lovable domains if not required.</w:t>
      </w:r>
    </w:p>
    <w:p>
      <w:pPr>
        <w:pStyle w:val="Heading2"/>
        <w:spacing w:after="120" w:before="280"/>
      </w:pPr>
      <w:r>
        <w:rPr>
          <w:rFonts w:ascii="Arial" w:cs="Arial" w:eastAsia="Arial" w:hAnsi="Arial"/>
          <w:b/>
          <w:bCs/>
          <w:color w:val="1A1A1A"/>
          <w:sz w:val="26"/>
          <w:szCs w:val="26"/>
        </w:rPr>
        <w:t xml:space="preserve">4.3  Penetration Testing Requirements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Test Type</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Requirement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Pre-launch penetration test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 full application and infrastructure penetration test by a qualified third-party must be completed before go-live. All Critical and High findings must be remediated before launch.</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Annual penetration test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Full scope annual test by an independent, qualified third-party penetration tester. All Critical findings remediated within 30 days; High within 60 days.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After major changes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 targeted penetration test or security review must be conducted following any Major Change to payment flows, authentication systems, or data processing infrastructure.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After a significant breach</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 full penetration test must be conducted following any P1 or P2 security incident, before restoring full User access.</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4.4  Vulnerability Severity and Remediation SLAs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Severity</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Remediation SLA</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Critical (CVSS 9.0-10.0) - directly exploitable; data or payment exposure risk</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Immediate - remediation within 24 hours or compensating control within 4 hours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High (CVSS 7.0-8.9) - significant risk; authentication or data integrity issues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Remediation within 7 calendar days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Medium (CVSS 4.0-6.9) - moderate risk; limited exposure without chaining</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Remediation within 30 calendar days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Low (CVSS 0.1-3.9) - minimal exploitability; defence-in-depth improvements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Remediation within 90 calendar days or accepted with documented risk decision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Informational - no direct risk; hardening recommendations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CTO review; included in next scheduled improvement cycle</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4.5  Vulnerability Register</w:t>
      </w:r>
    </w:p>
    <w:p>
      <w:pPr>
        <w:spacing w:after="80" w:before="80"/>
      </w:pPr>
      <w:r>
        <w:rPr>
          <w:rFonts w:ascii="Arial" w:cs="Arial" w:eastAsia="Arial" w:hAnsi="Arial"/>
          <w:color w:val="1A1A1A"/>
          <w:sz w:val="22"/>
          <w:szCs w:val="22"/>
        </w:rPr>
        <w:t>All identified vulnerabilities - from automated scans, penetration tests, responsible disclosure, or internal discovery - must be recorded in a Vulnerability Register maintained by the CTO:</w:t>
      </w:r>
    </w:p>
    <w:p>
      <w:pPr>
        <w:pStyle w:val="ListParagraph"/>
        <w:numPr>
          <w:ilvl w:val="0"/>
          <w:numId w:val="2"/>
        </w:numPr>
        <w:spacing w:after="40" w:before="40"/>
      </w:pPr>
      <w:r>
        <w:rPr>
          <w:rFonts w:ascii="Arial" w:cs="Arial" w:eastAsia="Arial" w:hAnsi="Arial"/>
          <w:color w:val="1A1A1A"/>
          <w:sz w:val="22"/>
          <w:szCs w:val="22"/>
        </w:rPr>
        <w:t xml:space="preserve">vulnerability ID and source;</w:t>
      </w:r>
    </w:p>
    <w:p>
      <w:pPr>
        <w:pStyle w:val="ListParagraph"/>
        <w:numPr>
          <w:ilvl w:val="0"/>
          <w:numId w:val="2"/>
        </w:numPr>
        <w:spacing w:after="40" w:before="40"/>
      </w:pPr>
      <w:r>
        <w:rPr>
          <w:rFonts w:ascii="Arial" w:cs="Arial" w:eastAsia="Arial" w:hAnsi="Arial"/>
          <w:color w:val="1A1A1A"/>
          <w:sz w:val="22"/>
          <w:szCs w:val="22"/>
        </w:rPr>
        <w:t xml:space="preserve">severity (CVSS score and classification);</w:t>
      </w:r>
    </w:p>
    <w:p>
      <w:pPr>
        <w:pStyle w:val="ListParagraph"/>
        <w:numPr>
          <w:ilvl w:val="0"/>
          <w:numId w:val="2"/>
        </w:numPr>
        <w:spacing w:after="40" w:before="40"/>
      </w:pPr>
      <w:r>
        <w:rPr>
          <w:rFonts w:ascii="Arial" w:cs="Arial" w:eastAsia="Arial" w:hAnsi="Arial"/>
          <w:color w:val="1A1A1A"/>
          <w:sz w:val="22"/>
          <w:szCs w:val="22"/>
        </w:rPr>
        <w:t xml:space="preserve">affected system or component;</w:t>
      </w:r>
    </w:p>
    <w:p>
      <w:pPr>
        <w:pStyle w:val="ListParagraph"/>
        <w:numPr>
          <w:ilvl w:val="0"/>
          <w:numId w:val="2"/>
        </w:numPr>
        <w:spacing w:after="40" w:before="40"/>
      </w:pPr>
      <w:r>
        <w:rPr>
          <w:rFonts w:ascii="Arial" w:cs="Arial" w:eastAsia="Arial" w:hAnsi="Arial"/>
          <w:color w:val="1A1A1A"/>
          <w:sz w:val="22"/>
          <w:szCs w:val="22"/>
        </w:rPr>
        <w:t xml:space="preserve">date identified;</w:t>
      </w:r>
    </w:p>
    <w:p>
      <w:pPr>
        <w:pStyle w:val="ListParagraph"/>
        <w:numPr>
          <w:ilvl w:val="0"/>
          <w:numId w:val="2"/>
        </w:numPr>
        <w:spacing w:after="40" w:before="40"/>
      </w:pPr>
      <w:r>
        <w:rPr>
          <w:rFonts w:ascii="Arial" w:cs="Arial" w:eastAsia="Arial" w:hAnsi="Arial"/>
          <w:color w:val="1A1A1A"/>
          <w:sz w:val="22"/>
          <w:szCs w:val="22"/>
        </w:rPr>
        <w:t xml:space="preserve">remediation status (open / in progress / remediated / accepted);</w:t>
      </w:r>
    </w:p>
    <w:p>
      <w:pPr>
        <w:pStyle w:val="ListParagraph"/>
        <w:numPr>
          <w:ilvl w:val="0"/>
          <w:numId w:val="2"/>
        </w:numPr>
        <w:spacing w:after="40" w:before="40"/>
      </w:pPr>
      <w:r>
        <w:rPr>
          <w:rFonts w:ascii="Arial" w:cs="Arial" w:eastAsia="Arial" w:hAnsi="Arial"/>
          <w:color w:val="1A1A1A"/>
          <w:sz w:val="22"/>
          <w:szCs w:val="22"/>
        </w:rPr>
        <w:t xml:space="preserve">remediation date (actual or target);</w:t>
      </w:r>
    </w:p>
    <w:p>
      <w:pPr>
        <w:pStyle w:val="ListParagraph"/>
        <w:numPr>
          <w:ilvl w:val="0"/>
          <w:numId w:val="2"/>
        </w:numPr>
        <w:spacing w:after="40" w:before="40"/>
      </w:pPr>
      <w:r>
        <w:rPr>
          <w:rFonts w:ascii="Arial" w:cs="Arial" w:eastAsia="Arial" w:hAnsi="Arial"/>
          <w:color w:val="1A1A1A"/>
          <w:sz w:val="22"/>
          <w:szCs w:val="22"/>
        </w:rPr>
        <w:t xml:space="preserve">CTO sign-off on closure.</w:t>
      </w:r>
    </w:p>
    <w:p>
      <w:pPr>
        <w:spacing w:after="80" w:before="80"/>
      </w:pPr>
      <w:r>
        <w:rPr>
          <w:rFonts w:ascii="Arial" w:cs="Arial" w:eastAsia="Arial" w:hAnsi="Arial"/>
          <w:color w:val="1A1A1A"/>
          <w:sz w:val="22"/>
          <w:szCs w:val="22"/>
        </w:rPr>
        <w:t xml:space="preserve">The Vulnerability Register must be reviewed monthly by the CTO and quarterly by the CEO.</w:t>
      </w:r>
    </w:p>
    <w:p>
      <w:pPr>
        <w:pStyle w:val="Heading2"/>
        <w:spacing w:after="120" w:before="280"/>
      </w:pPr>
      <w:r>
        <w:rPr>
          <w:rFonts w:ascii="Arial" w:cs="Arial" w:eastAsia="Arial" w:hAnsi="Arial"/>
          <w:b/>
          <w:bCs/>
          <w:color w:val="1A1A1A"/>
          <w:sz w:val="26"/>
          <w:szCs w:val="26"/>
        </w:rPr>
        <w:t xml:space="preserve">4.6  Scope and Rules of Engagement for Penetration Tests</w:t>
      </w:r>
    </w:p>
    <w:p>
      <w:pPr>
        <w:spacing w:after="80" w:before="80"/>
      </w:pPr>
      <w:r>
        <w:rPr>
          <w:rFonts w:ascii="Arial" w:cs="Arial" w:eastAsia="Arial" w:hAnsi="Arial"/>
          <w:color w:val="1A1A1A"/>
          <w:sz w:val="22"/>
          <w:szCs w:val="22"/>
        </w:rPr>
        <w:t xml:space="preserve">All penetration testing must be conducted under a written agreement specifying:</w:t>
      </w:r>
    </w:p>
    <w:p>
      <w:pPr>
        <w:pStyle w:val="ListParagraph"/>
        <w:numPr>
          <w:ilvl w:val="0"/>
          <w:numId w:val="2"/>
        </w:numPr>
        <w:spacing w:after="40" w:before="40"/>
      </w:pPr>
      <w:r>
        <w:rPr>
          <w:rFonts w:ascii="Arial" w:cs="Arial" w:eastAsia="Arial" w:hAnsi="Arial"/>
          <w:color w:val="1A1A1A"/>
          <w:sz w:val="22"/>
          <w:szCs w:val="22"/>
        </w:rPr>
        <w:t xml:space="preserve">the scope of testing (systems, IP ranges, application components, API endpoints);</w:t>
      </w:r>
    </w:p>
    <w:p>
      <w:pPr>
        <w:pStyle w:val="ListParagraph"/>
        <w:numPr>
          <w:ilvl w:val="0"/>
          <w:numId w:val="2"/>
        </w:numPr>
        <w:spacing w:after="40" w:before="40"/>
      </w:pPr>
      <w:r>
        <w:rPr>
          <w:rFonts w:ascii="Arial" w:cs="Arial" w:eastAsia="Arial" w:hAnsi="Arial"/>
          <w:color w:val="1A1A1A"/>
          <w:sz w:val="22"/>
          <w:szCs w:val="22"/>
        </w:rPr>
        <w:t xml:space="preserve">testing window (dates and times);</w:t>
      </w:r>
    </w:p>
    <w:p>
      <w:pPr>
        <w:pStyle w:val="ListParagraph"/>
        <w:numPr>
          <w:ilvl w:val="0"/>
          <w:numId w:val="2"/>
        </w:numPr>
        <w:spacing w:after="40" w:before="40"/>
      </w:pPr>
      <w:r>
        <w:rPr>
          <w:rFonts w:ascii="Arial" w:cs="Arial" w:eastAsia="Arial" w:hAnsi="Arial"/>
          <w:color w:val="1A1A1A"/>
          <w:sz w:val="22"/>
          <w:szCs w:val="22"/>
        </w:rPr>
        <w:t xml:space="preserve">excluded systems (systems that must not be tested, e.g. Payment Provider infrastructure);</w:t>
      </w:r>
    </w:p>
    <w:p>
      <w:pPr>
        <w:pStyle w:val="ListParagraph"/>
        <w:numPr>
          <w:ilvl w:val="0"/>
          <w:numId w:val="2"/>
        </w:numPr>
        <w:spacing w:after="40" w:before="40"/>
      </w:pPr>
      <w:r>
        <w:rPr>
          <w:rFonts w:ascii="Arial" w:cs="Arial" w:eastAsia="Arial" w:hAnsi="Arial"/>
          <w:color w:val="1A1A1A"/>
          <w:sz w:val="22"/>
          <w:szCs w:val="22"/>
        </w:rPr>
        <w:t xml:space="preserve">notification to Netlify, Supabase, and other infrastructure providers where required by their terms;</w:t>
      </w:r>
    </w:p>
    <w:p>
      <w:pPr>
        <w:pStyle w:val="ListParagraph"/>
        <w:numPr>
          <w:ilvl w:val="0"/>
          <w:numId w:val="2"/>
        </w:numPr>
        <w:spacing w:after="40" w:before="40"/>
      </w:pPr>
      <w:r>
        <w:rPr>
          <w:rFonts w:ascii="Arial" w:cs="Arial" w:eastAsia="Arial" w:hAnsi="Arial"/>
          <w:color w:val="1A1A1A"/>
          <w:sz w:val="22"/>
          <w:szCs w:val="22"/>
        </w:rPr>
        <w:t>data handling - no real User personal information may be extracted during testing; test data only;</w:t>
      </w:r>
    </w:p>
    <w:p>
      <w:pPr>
        <w:pStyle w:val="ListParagraph"/>
        <w:numPr>
          <w:ilvl w:val="0"/>
          <w:numId w:val="2"/>
        </w:numPr>
        <w:spacing w:after="40" w:before="40"/>
      </w:pPr>
      <w:r>
        <w:rPr>
          <w:rFonts w:ascii="Arial" w:cs="Arial" w:eastAsia="Arial" w:hAnsi="Arial"/>
          <w:color w:val="1A1A1A"/>
          <w:sz w:val="22"/>
          <w:szCs w:val="22"/>
        </w:rPr>
        <w:t xml:space="preserve">reporting format and remediation review;</w:t>
      </w:r>
    </w:p>
    <w:p>
      <w:pPr>
        <w:pStyle w:val="ListParagraph"/>
        <w:numPr>
          <w:ilvl w:val="0"/>
          <w:numId w:val="2"/>
        </w:numPr>
        <w:spacing w:after="40" w:before="40"/>
      </w:pPr>
      <w:r>
        <w:rPr>
          <w:rFonts w:ascii="Arial" w:cs="Arial" w:eastAsia="Arial" w:hAnsi="Arial"/>
          <w:color w:val="1A1A1A"/>
          <w:sz w:val="22"/>
          <w:szCs w:val="22"/>
        </w:rPr>
        <w:t xml:space="preserve">confidentiality obligations of the testing firm.</w:t>
      </w:r>
    </w:p>
    <w:p>
      <w:pPr>
        <w:shd w:fill="FFF2CC" w:val="clear"/>
        <w:spacing w:after="80" w:before="80"/>
        <w:ind w:left="360" w:right="360"/>
      </w:pPr>
      <w:r>
        <w:rPr>
          <w:rFonts w:ascii="Arial" w:cs="Arial" w:eastAsia="Arial" w:hAnsi="Arial"/>
          <w:b/>
          <w:bCs/>
          <w:color w:val="7F6000"/>
          <w:sz w:val="20"/>
          <w:szCs w:val="20"/>
        </w:rPr>
        <w:t xml:space="preserve">ACTION REQUIRED: ANIMEX must confirm with Netlify and Supabase their respective penetration testing notification or authorisation requirements before engaging any external tester.</w:t>
      </w:r>
    </w:p>
    <w:p>
      <w:pPr>
        <w:pStyle w:val="Heading2"/>
        <w:spacing w:after="120" w:before="280"/>
      </w:pPr>
      <w:r>
        <w:rPr>
          <w:rFonts w:ascii="Arial" w:cs="Arial" w:eastAsia="Arial" w:hAnsi="Arial"/>
          <w:b/>
          <w:bCs/>
          <w:color w:val="1A1A1A"/>
          <w:sz w:val="26"/>
          <w:szCs w:val="26"/>
        </w:rPr>
        <w:t xml:space="preserve">4.7  Responsible Disclosure Policy</w:t>
      </w:r>
    </w:p>
    <w:p>
      <w:pPr>
        <w:spacing w:after="80" w:before="80"/>
      </w:pPr>
      <w:r>
        <w:rPr>
          <w:rFonts w:ascii="Arial" w:cs="Arial" w:eastAsia="Arial" w:hAnsi="Arial"/>
          <w:color w:val="1A1A1A"/>
          <w:sz w:val="22"/>
          <w:szCs w:val="22"/>
        </w:rPr>
        <w:t>ANIMEX operates a responsible disclosure programme. Security researchers who identify vulnerabilities in the Platform are invited to report them to info@animexofficial.co.za with:</w:t>
      </w:r>
    </w:p>
    <w:p>
      <w:pPr>
        <w:pStyle w:val="ListParagraph"/>
        <w:numPr>
          <w:ilvl w:val="0"/>
          <w:numId w:val="2"/>
        </w:numPr>
        <w:spacing w:after="40" w:before="40"/>
      </w:pPr>
      <w:r>
        <w:rPr>
          <w:rFonts w:ascii="Arial" w:cs="Arial" w:eastAsia="Arial" w:hAnsi="Arial"/>
          <w:color w:val="1A1A1A"/>
          <w:sz w:val="22"/>
          <w:szCs w:val="22"/>
        </w:rPr>
        <w:t xml:space="preserve">a description of the vulnerability and its potential impact;</w:t>
      </w:r>
    </w:p>
    <w:p>
      <w:pPr>
        <w:pStyle w:val="ListParagraph"/>
        <w:numPr>
          <w:ilvl w:val="0"/>
          <w:numId w:val="2"/>
        </w:numPr>
        <w:spacing w:after="40" w:before="40"/>
      </w:pPr>
      <w:r>
        <w:rPr>
          <w:rFonts w:ascii="Arial" w:cs="Arial" w:eastAsia="Arial" w:hAnsi="Arial"/>
          <w:color w:val="1A1A1A"/>
          <w:sz w:val="22"/>
          <w:szCs w:val="22"/>
        </w:rPr>
        <w:t xml:space="preserve">steps to reproduce;</w:t>
      </w:r>
    </w:p>
    <w:p>
      <w:pPr>
        <w:pStyle w:val="ListParagraph"/>
        <w:numPr>
          <w:ilvl w:val="0"/>
          <w:numId w:val="2"/>
        </w:numPr>
        <w:spacing w:after="40" w:before="40"/>
      </w:pPr>
      <w:r>
        <w:rPr>
          <w:rFonts w:ascii="Arial" w:cs="Arial" w:eastAsia="Arial" w:hAnsi="Arial"/>
          <w:color w:val="1A1A1A"/>
          <w:sz w:val="22"/>
          <w:szCs w:val="22"/>
        </w:rPr>
        <w:t>evidence (screenshots, HTTP request/response logs - no actual User data);</w:t>
      </w:r>
    </w:p>
    <w:p>
      <w:pPr>
        <w:pStyle w:val="ListParagraph"/>
        <w:numPr>
          <w:ilvl w:val="0"/>
          <w:numId w:val="2"/>
        </w:numPr>
        <w:spacing w:after="40" w:before="40"/>
      </w:pPr>
      <w:r>
        <w:rPr>
          <w:rFonts w:ascii="Arial" w:cs="Arial" w:eastAsia="Arial" w:hAnsi="Arial"/>
          <w:color w:val="1A1A1A"/>
          <w:sz w:val="22"/>
          <w:szCs w:val="22"/>
        </w:rPr>
        <w:t xml:space="preserve">their contact details (optional for anonymous reports).</w:t>
      </w:r>
    </w:p>
    <w:p>
      <w:pPr>
        <w:spacing w:after="80" w:before="80"/>
      </w:pPr>
      <w:r>
        <w:rPr>
          <w:rFonts w:ascii="Arial" w:cs="Arial" w:eastAsia="Arial" w:hAnsi="Arial"/>
          <w:color w:val="1A1A1A"/>
          <w:sz w:val="22"/>
          <w:szCs w:val="22"/>
        </w:rPr>
        <w:t xml:space="preserve">ANIMEX commits to:</w:t>
      </w:r>
    </w:p>
    <w:p>
      <w:pPr>
        <w:pStyle w:val="ListParagraph"/>
        <w:numPr>
          <w:ilvl w:val="0"/>
          <w:numId w:val="2"/>
        </w:numPr>
        <w:spacing w:after="40" w:before="40"/>
      </w:pPr>
      <w:r>
        <w:rPr>
          <w:rFonts w:ascii="Arial" w:cs="Arial" w:eastAsia="Arial" w:hAnsi="Arial"/>
          <w:color w:val="1A1A1A"/>
          <w:sz w:val="22"/>
          <w:szCs w:val="22"/>
        </w:rPr>
        <w:t xml:space="preserve">acknowledging the report within 3 (three) business days;</w:t>
      </w:r>
    </w:p>
    <w:p>
      <w:pPr>
        <w:pStyle w:val="ListParagraph"/>
        <w:numPr>
          <w:ilvl w:val="0"/>
          <w:numId w:val="2"/>
        </w:numPr>
        <w:spacing w:after="40" w:before="40"/>
      </w:pPr>
      <w:r>
        <w:rPr>
          <w:rFonts w:ascii="Arial" w:cs="Arial" w:eastAsia="Arial" w:hAnsi="Arial"/>
          <w:color w:val="1A1A1A"/>
          <w:sz w:val="22"/>
          <w:szCs w:val="22"/>
        </w:rPr>
        <w:t xml:space="preserve">providing a remediation timeline for validated vulnerabilities;</w:t>
      </w:r>
    </w:p>
    <w:p>
      <w:pPr>
        <w:pStyle w:val="ListParagraph"/>
        <w:numPr>
          <w:ilvl w:val="0"/>
          <w:numId w:val="2"/>
        </w:numPr>
        <w:spacing w:after="40" w:before="40"/>
      </w:pPr>
      <w:r>
        <w:rPr>
          <w:rFonts w:ascii="Arial" w:cs="Arial" w:eastAsia="Arial" w:hAnsi="Arial"/>
          <w:color w:val="1A1A1A"/>
          <w:sz w:val="22"/>
          <w:szCs w:val="22"/>
        </w:rPr>
        <w:t xml:space="preserve">not pursuing legal action against researchers acting in good faith within the disclosed scope;</w:t>
      </w:r>
    </w:p>
    <w:p>
      <w:pPr>
        <w:pStyle w:val="ListParagraph"/>
        <w:numPr>
          <w:ilvl w:val="0"/>
          <w:numId w:val="2"/>
        </w:numPr>
        <w:spacing w:after="40" w:before="40"/>
      </w:pPr>
      <w:r>
        <w:rPr>
          <w:rFonts w:ascii="Arial" w:cs="Arial" w:eastAsia="Arial" w:hAnsi="Arial"/>
          <w:color w:val="1A1A1A"/>
          <w:sz w:val="22"/>
          <w:szCs w:val="22"/>
        </w:rPr>
        <w:t xml:space="preserve">crediting the researcher in ANIMEX's security acknowledgements where they consent.</w:t>
      </w:r>
    </w:p>
    <w:p>
      <w:pPr>
        <w:spacing w:after="80" w:before="80"/>
      </w:pPr>
      <w:r>
        <w:rPr>
          <w:rFonts w:ascii="Arial" w:cs="Arial" w:eastAsia="Arial" w:hAnsi="Arial"/>
          <w:color w:val="1A1A1A"/>
          <w:sz w:val="22"/>
          <w:szCs w:val="22"/>
        </w:rPr>
        <w:t xml:space="preserve">This programme does not authorise: accessing, downloading, or modifying User data; conducting social engineering; denial-of-service testing; or testing third-party infrastructure.</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5.  Encryption and Data Protection Standards</w:t>
      </w:r>
    </w:p>
    <w:p>
      <w:pPr>
        <w:pStyle w:val="Heading2"/>
        <w:spacing w:after="120" w:before="280"/>
      </w:pPr>
      <w:r>
        <w:rPr>
          <w:rFonts w:ascii="Arial" w:cs="Arial" w:eastAsia="Arial" w:hAnsi="Arial"/>
          <w:b/>
          <w:bCs/>
          <w:color w:val="1A1A1A"/>
          <w:sz w:val="26"/>
          <w:szCs w:val="26"/>
        </w:rPr>
        <w:t xml:space="preserve">5.1  Purpose</w:t>
      </w:r>
    </w:p>
    <w:p>
      <w:pPr>
        <w:spacing w:after="80" w:before="80"/>
      </w:pPr>
      <w:r>
        <w:rPr>
          <w:rFonts w:ascii="Arial" w:cs="Arial" w:eastAsia="Arial" w:hAnsi="Arial"/>
          <w:color w:val="1A1A1A"/>
          <w:sz w:val="22"/>
          <w:szCs w:val="22"/>
        </w:rPr>
        <w:t xml:space="preserve">This standard sets out ANIMEX's minimum encryption and data protection requirements for protecting User personal information, payment data, credentials, and business data, in compliance with POPIA's requirement for appropriate technical safeguards.</w:t>
      </w:r>
    </w:p>
    <w:p>
      <w:pPr>
        <w:pStyle w:val="Heading2"/>
        <w:spacing w:after="120" w:before="280"/>
      </w:pPr>
      <w:r>
        <w:rPr>
          <w:rFonts w:ascii="Arial" w:cs="Arial" w:eastAsia="Arial" w:hAnsi="Arial"/>
          <w:b/>
          <w:bCs/>
          <w:color w:val="1A1A1A"/>
          <w:sz w:val="26"/>
          <w:szCs w:val="26"/>
        </w:rPr>
        <w:t xml:space="preserve">5.2  Encryption in Transit</w:t>
      </w:r>
    </w:p>
    <w:p>
      <w:pPr>
        <w:spacing w:after="80" w:before="80"/>
      </w:pPr>
      <w:r>
        <w:rPr>
          <w:rFonts w:ascii="Arial" w:cs="Arial" w:eastAsia="Arial" w:hAnsi="Arial"/>
          <w:color w:val="1A1A1A"/>
          <w:sz w:val="22"/>
          <w:szCs w:val="22"/>
        </w:rPr>
        <w:t xml:space="preserve">All data transmitted between clients and ANIMEX's Platform must be encrypted:</w:t>
      </w:r>
    </w:p>
    <w:p>
      <w:pPr>
        <w:pStyle w:val="ListParagraph"/>
        <w:numPr>
          <w:ilvl w:val="0"/>
          <w:numId w:val="2"/>
        </w:numPr>
        <w:spacing w:after="40" w:before="40"/>
      </w:pPr>
      <w:r>
        <w:rPr>
          <w:rFonts w:ascii="Arial" w:cs="Arial" w:eastAsia="Arial" w:hAnsi="Arial"/>
          <w:color w:val="1A1A1A"/>
          <w:sz w:val="22"/>
          <w:szCs w:val="22"/>
        </w:rPr>
        <w:t xml:space="preserve">TLS 1.2 minimum required; TLS 1.3 preferred for all HTTPS connections;</w:t>
      </w:r>
    </w:p>
    <w:p>
      <w:pPr>
        <w:pStyle w:val="ListParagraph"/>
        <w:numPr>
          <w:ilvl w:val="0"/>
          <w:numId w:val="2"/>
        </w:numPr>
        <w:spacing w:after="40" w:before="40"/>
      </w:pPr>
      <w:r>
        <w:rPr>
          <w:rFonts w:ascii="Arial" w:cs="Arial" w:eastAsia="Arial" w:hAnsi="Arial"/>
          <w:color w:val="1A1A1A"/>
          <w:sz w:val="22"/>
          <w:szCs w:val="22"/>
        </w:rPr>
        <w:t>HTTP connections must redirect to HTTPS - no unencrypted HTTP access to any authenticated endpoint;</w:t>
      </w:r>
    </w:p>
    <w:p>
      <w:pPr>
        <w:pStyle w:val="ListParagraph"/>
        <w:numPr>
          <w:ilvl w:val="0"/>
          <w:numId w:val="2"/>
        </w:numPr>
        <w:spacing w:after="40" w:before="40"/>
      </w:pPr>
      <w:r>
        <w:rPr>
          <w:rFonts w:ascii="Arial" w:cs="Arial" w:eastAsia="Arial" w:hAnsi="Arial"/>
          <w:color w:val="1A1A1A"/>
          <w:sz w:val="22"/>
          <w:szCs w:val="22"/>
        </w:rPr>
        <w:t xml:space="preserve">HSTS (HTTP Strict Transport Security) header must be configured with a minimum max-age of 1 year;</w:t>
      </w:r>
    </w:p>
    <w:p>
      <w:pPr>
        <w:pStyle w:val="ListParagraph"/>
        <w:numPr>
          <w:ilvl w:val="0"/>
          <w:numId w:val="2"/>
        </w:numPr>
        <w:spacing w:after="40" w:before="40"/>
      </w:pPr>
      <w:r>
        <w:rPr>
          <w:rFonts w:ascii="Arial" w:cs="Arial" w:eastAsia="Arial" w:hAnsi="Arial"/>
          <w:color w:val="1A1A1A"/>
          <w:sz w:val="22"/>
          <w:szCs w:val="22"/>
        </w:rPr>
        <w:t xml:space="preserve">TLS certificates must be from a trusted CA, valid, and auto-renewed (e.g. via Netlify's managed certificates);</w:t>
      </w:r>
    </w:p>
    <w:p>
      <w:pPr>
        <w:pStyle w:val="ListParagraph"/>
        <w:numPr>
          <w:ilvl w:val="0"/>
          <w:numId w:val="2"/>
        </w:numPr>
        <w:spacing w:after="40" w:before="40"/>
      </w:pPr>
      <w:r>
        <w:rPr>
          <w:rFonts w:ascii="Arial" w:cs="Arial" w:eastAsia="Arial" w:hAnsi="Arial"/>
          <w:color w:val="1A1A1A"/>
          <w:sz w:val="22"/>
          <w:szCs w:val="22"/>
        </w:rPr>
        <w:t xml:space="preserve">all API calls to Supabase, PayFast, and third-party services must use HTTPS;</w:t>
      </w:r>
    </w:p>
    <w:p>
      <w:pPr>
        <w:pStyle w:val="ListParagraph"/>
        <w:numPr>
          <w:ilvl w:val="0"/>
          <w:numId w:val="2"/>
        </w:numPr>
        <w:spacing w:after="40" w:before="40"/>
      </w:pPr>
      <w:r>
        <w:rPr>
          <w:rFonts w:ascii="Arial" w:cs="Arial" w:eastAsia="Arial" w:hAnsi="Arial"/>
          <w:color w:val="1A1A1A"/>
          <w:sz w:val="22"/>
          <w:szCs w:val="22"/>
        </w:rPr>
        <w:t xml:space="preserve">no sensitive data may be transmitted in URL query parameters.</w:t>
      </w:r>
    </w:p>
    <w:p>
      <w:pPr>
        <w:pStyle w:val="Heading2"/>
        <w:spacing w:after="120" w:before="280"/>
      </w:pPr>
      <w:r>
        <w:rPr>
          <w:rFonts w:ascii="Arial" w:cs="Arial" w:eastAsia="Arial" w:hAnsi="Arial"/>
          <w:b/>
          <w:bCs/>
          <w:color w:val="1A1A1A"/>
          <w:sz w:val="26"/>
          <w:szCs w:val="26"/>
        </w:rPr>
        <w:t xml:space="preserve">5.3  Encryption at Rest</w:t>
      </w:r>
    </w:p>
    <w:p>
      <w:pPr>
        <w:spacing w:after="80" w:before="80"/>
      </w:pPr>
      <w:r>
        <w:rPr>
          <w:rFonts w:ascii="Arial" w:cs="Arial" w:eastAsia="Arial" w:hAnsi="Arial"/>
          <w:color w:val="1A1A1A"/>
          <w:sz w:val="22"/>
          <w:szCs w:val="22"/>
        </w:rPr>
        <w:t xml:space="preserve">Critical and Confidential data must be encrypted at rest:</w:t>
      </w:r>
    </w:p>
    <w:p>
      <w:pPr>
        <w:pStyle w:val="ListParagraph"/>
        <w:numPr>
          <w:ilvl w:val="0"/>
          <w:numId w:val="2"/>
        </w:numPr>
        <w:spacing w:after="40" w:before="40"/>
      </w:pPr>
      <w:r>
        <w:rPr>
          <w:rFonts w:ascii="Arial" w:cs="Arial" w:eastAsia="Arial" w:hAnsi="Arial"/>
          <w:color w:val="1A1A1A"/>
          <w:sz w:val="22"/>
          <w:szCs w:val="22"/>
        </w:rPr>
        <w:t>Supabase PostgreSQL database storage encryption - at minimum, the underlying Supabase infrastructure encryption must be confirmed active;</w:t>
      </w:r>
    </w:p>
    <w:p>
      <w:pPr>
        <w:pStyle w:val="ListParagraph"/>
        <w:numPr>
          <w:ilvl w:val="0"/>
          <w:numId w:val="2"/>
        </w:numPr>
        <w:spacing w:after="40" w:before="40"/>
      </w:pPr>
      <w:r>
        <w:rPr>
          <w:rFonts w:ascii="Arial" w:cs="Arial" w:eastAsia="Arial" w:hAnsi="Arial"/>
          <w:color w:val="1A1A1A"/>
          <w:sz w:val="22"/>
          <w:szCs w:val="22"/>
        </w:rPr>
        <w:t xml:space="preserve">application-level encryption for particularly sensitive fields (e.g. bank account details, ID numbers) where feasible and not duplicative of infrastructure-level encryption;</w:t>
      </w:r>
    </w:p>
    <w:p>
      <w:pPr>
        <w:pStyle w:val="ListParagraph"/>
        <w:numPr>
          <w:ilvl w:val="0"/>
          <w:numId w:val="2"/>
        </w:numPr>
        <w:spacing w:after="40" w:before="40"/>
      </w:pPr>
      <w:r>
        <w:rPr>
          <w:rFonts w:ascii="Arial" w:cs="Arial" w:eastAsia="Arial" w:hAnsi="Arial"/>
          <w:color w:val="1A1A1A"/>
          <w:sz w:val="22"/>
          <w:szCs w:val="22"/>
        </w:rPr>
        <w:t xml:space="preserve">backup storage must be encrypted using AES-256 or equivalent;</w:t>
      </w:r>
    </w:p>
    <w:p>
      <w:pPr>
        <w:pStyle w:val="ListParagraph"/>
        <w:numPr>
          <w:ilvl w:val="0"/>
          <w:numId w:val="2"/>
        </w:numPr>
        <w:spacing w:after="40" w:before="40"/>
      </w:pPr>
      <w:r>
        <w:rPr>
          <w:rFonts w:ascii="Arial" w:cs="Arial" w:eastAsia="Arial" w:hAnsi="Arial"/>
          <w:color w:val="1A1A1A"/>
          <w:sz w:val="22"/>
          <w:szCs w:val="22"/>
        </w:rPr>
        <w:t xml:space="preserve">all ANIMEX-owned devices holding any User personal information must use full-disk encryption.</w:t>
      </w:r>
    </w:p>
    <w:p>
      <w:pPr>
        <w:pStyle w:val="Heading2"/>
        <w:spacing w:after="120" w:before="280"/>
      </w:pPr>
      <w:r>
        <w:rPr>
          <w:rFonts w:ascii="Arial" w:cs="Arial" w:eastAsia="Arial" w:hAnsi="Arial"/>
          <w:b/>
          <w:bCs/>
          <w:color w:val="1A1A1A"/>
          <w:sz w:val="26"/>
          <w:szCs w:val="26"/>
        </w:rPr>
        <w:t xml:space="preserve">5.4  API Key and Secret Management</w:t>
      </w:r>
    </w:p>
    <w:p>
      <w:pPr>
        <w:spacing w:after="80" w:before="80"/>
      </w:pPr>
      <w:r>
        <w:rPr>
          <w:rFonts w:ascii="Arial" w:cs="Arial" w:eastAsia="Arial" w:hAnsi="Arial"/>
          <w:color w:val="1A1A1A"/>
          <w:sz w:val="22"/>
          <w:szCs w:val="22"/>
        </w:rPr>
        <w:t xml:space="preserve">Secrets (API keys, JWT secrets, database passwords, service credentials) must:</w:t>
      </w:r>
    </w:p>
    <w:p>
      <w:pPr>
        <w:pStyle w:val="ListParagraph"/>
        <w:numPr>
          <w:ilvl w:val="0"/>
          <w:numId w:val="2"/>
        </w:numPr>
        <w:spacing w:after="40" w:before="40"/>
      </w:pPr>
      <w:r>
        <w:rPr>
          <w:rFonts w:ascii="Arial" w:cs="Arial" w:eastAsia="Arial" w:hAnsi="Arial"/>
          <w:color w:val="1A1A1A"/>
          <w:sz w:val="22"/>
          <w:szCs w:val="22"/>
        </w:rPr>
        <w:t xml:space="preserve">never appear in source code, version control, logs, or error messages;</w:t>
      </w:r>
    </w:p>
    <w:p>
      <w:pPr>
        <w:pStyle w:val="ListParagraph"/>
        <w:numPr>
          <w:ilvl w:val="0"/>
          <w:numId w:val="2"/>
        </w:numPr>
        <w:spacing w:after="40" w:before="40"/>
      </w:pPr>
      <w:r>
        <w:rPr>
          <w:rFonts w:ascii="Arial" w:cs="Arial" w:eastAsia="Arial" w:hAnsi="Arial"/>
          <w:color w:val="1A1A1A"/>
          <w:sz w:val="22"/>
          <w:szCs w:val="22"/>
        </w:rPr>
        <w:t xml:space="preserve">be stored in Netlify environment variables, Supabase vault, or a dedicated secrets manager;</w:t>
      </w:r>
    </w:p>
    <w:p>
      <w:pPr>
        <w:pStyle w:val="ListParagraph"/>
        <w:numPr>
          <w:ilvl w:val="0"/>
          <w:numId w:val="2"/>
        </w:numPr>
        <w:spacing w:after="40" w:before="40"/>
      </w:pPr>
      <w:r>
        <w:rPr>
          <w:rFonts w:ascii="Arial" w:cs="Arial" w:eastAsia="Arial" w:hAnsi="Arial"/>
          <w:color w:val="1A1A1A"/>
          <w:sz w:val="22"/>
          <w:szCs w:val="22"/>
        </w:rPr>
        <w:t>use separate keys for production and non-production environments - production secrets must never be used in development or staging;</w:t>
      </w:r>
    </w:p>
    <w:p>
      <w:pPr>
        <w:pStyle w:val="ListParagraph"/>
        <w:numPr>
          <w:ilvl w:val="0"/>
          <w:numId w:val="2"/>
        </w:numPr>
        <w:spacing w:after="40" w:before="40"/>
      </w:pPr>
      <w:r>
        <w:rPr>
          <w:rFonts w:ascii="Arial" w:cs="Arial" w:eastAsia="Arial" w:hAnsi="Arial"/>
          <w:color w:val="1A1A1A"/>
          <w:sz w:val="22"/>
          <w:szCs w:val="22"/>
        </w:rPr>
        <w:t xml:space="preserve">be rotated immediately on suspected exposure and on a scheduled basis (at least annually).</w:t>
      </w:r>
    </w:p>
    <w:p>
      <w:pPr>
        <w:pStyle w:val="Heading2"/>
        <w:spacing w:after="120" w:before="280"/>
      </w:pPr>
      <w:r>
        <w:rPr>
          <w:rFonts w:ascii="Arial" w:cs="Arial" w:eastAsia="Arial" w:hAnsi="Arial"/>
          <w:b/>
          <w:bCs/>
          <w:color w:val="1A1A1A"/>
          <w:sz w:val="26"/>
          <w:szCs w:val="26"/>
        </w:rPr>
        <w:t xml:space="preserve">5.5  JWT and Session Security</w:t>
      </w:r>
    </w:p>
    <w:p>
      <w:pPr>
        <w:spacing w:after="80" w:before="80"/>
      </w:pPr>
      <w:r>
        <w:rPr>
          <w:rFonts w:ascii="Arial" w:cs="Arial" w:eastAsia="Arial" w:hAnsi="Arial"/>
          <w:color w:val="1A1A1A"/>
          <w:sz w:val="22"/>
          <w:szCs w:val="22"/>
        </w:rPr>
        <w:t xml:space="preserve">ANIMEX's authentication tokens (JWTs) must:</w:t>
      </w:r>
    </w:p>
    <w:p>
      <w:pPr>
        <w:pStyle w:val="ListParagraph"/>
        <w:numPr>
          <w:ilvl w:val="0"/>
          <w:numId w:val="2"/>
        </w:numPr>
        <w:spacing w:after="40" w:before="40"/>
      </w:pPr>
      <w:r>
        <w:rPr>
          <w:rFonts w:ascii="Arial" w:cs="Arial" w:eastAsia="Arial" w:hAnsi="Arial"/>
          <w:color w:val="1A1A1A"/>
          <w:sz w:val="22"/>
          <w:szCs w:val="22"/>
        </w:rPr>
        <w:t>have appropriate expiry times - access tokens no longer than 1 hour; refresh tokens no longer than 30 days;</w:t>
      </w:r>
    </w:p>
    <w:p>
      <w:pPr>
        <w:pStyle w:val="ListParagraph"/>
        <w:numPr>
          <w:ilvl w:val="0"/>
          <w:numId w:val="2"/>
        </w:numPr>
        <w:spacing w:after="40" w:before="40"/>
      </w:pPr>
      <w:r>
        <w:rPr>
          <w:rFonts w:ascii="Arial" w:cs="Arial" w:eastAsia="Arial" w:hAnsi="Arial"/>
          <w:color w:val="1A1A1A"/>
          <w:sz w:val="22"/>
          <w:szCs w:val="22"/>
        </w:rPr>
        <w:t xml:space="preserve">be signed with a strong secret or asymmetric key pair;</w:t>
      </w:r>
    </w:p>
    <w:p>
      <w:pPr>
        <w:pStyle w:val="ListParagraph"/>
        <w:numPr>
          <w:ilvl w:val="0"/>
          <w:numId w:val="2"/>
        </w:numPr>
        <w:spacing w:after="40" w:before="40"/>
      </w:pPr>
      <w:r>
        <w:rPr>
          <w:rFonts w:ascii="Arial" w:cs="Arial" w:eastAsia="Arial" w:hAnsi="Arial"/>
          <w:color w:val="1A1A1A"/>
          <w:sz w:val="22"/>
          <w:szCs w:val="22"/>
        </w:rPr>
        <w:t>be validated on every request to protected endpoints - verify_jwt must be enabled on all Supabase Edge Functions handling personal information or payments;</w:t>
      </w:r>
    </w:p>
    <w:p>
      <w:pPr>
        <w:pStyle w:val="ListParagraph"/>
        <w:numPr>
          <w:ilvl w:val="0"/>
          <w:numId w:val="2"/>
        </w:numPr>
        <w:spacing w:after="40" w:before="40"/>
      </w:pPr>
      <w:r>
        <w:rPr>
          <w:rFonts w:ascii="Arial" w:cs="Arial" w:eastAsia="Arial" w:hAnsi="Arial"/>
          <w:color w:val="1A1A1A"/>
          <w:sz w:val="22"/>
          <w:szCs w:val="22"/>
        </w:rPr>
        <w:t xml:space="preserve">be invalidated on logout and on password change;</w:t>
      </w:r>
    </w:p>
    <w:p>
      <w:pPr>
        <w:pStyle w:val="ListParagraph"/>
        <w:numPr>
          <w:ilvl w:val="0"/>
          <w:numId w:val="2"/>
        </w:numPr>
        <w:spacing w:after="40" w:before="40"/>
      </w:pPr>
      <w:r>
        <w:rPr>
          <w:rFonts w:ascii="Arial" w:cs="Arial" w:eastAsia="Arial" w:hAnsi="Arial"/>
          <w:color w:val="1A1A1A"/>
          <w:sz w:val="22"/>
          <w:szCs w:val="22"/>
        </w:rPr>
        <w:t xml:space="preserve">not contain sensitive personal information beyond the minimum required for authorisation.</w:t>
      </w:r>
    </w:p>
    <w:p>
      <w:pPr>
        <w:pStyle w:val="Heading2"/>
        <w:spacing w:after="120" w:before="280"/>
      </w:pPr>
      <w:r>
        <w:rPr>
          <w:rFonts w:ascii="Arial" w:cs="Arial" w:eastAsia="Arial" w:hAnsi="Arial"/>
          <w:b/>
          <w:bCs/>
          <w:color w:val="1A1A1A"/>
          <w:sz w:val="26"/>
          <w:szCs w:val="26"/>
        </w:rPr>
        <w:t xml:space="preserve">5.6  CORS Configuration</w:t>
      </w:r>
    </w:p>
    <w:p>
      <w:pPr>
        <w:spacing w:after="80" w:before="80"/>
      </w:pPr>
      <w:r>
        <w:rPr>
          <w:rFonts w:ascii="Arial" w:cs="Arial" w:eastAsia="Arial" w:hAnsi="Arial"/>
          <w:color w:val="1A1A1A"/>
          <w:sz w:val="22"/>
          <w:szCs w:val="22"/>
        </w:rPr>
        <w:t xml:space="preserve">ANIMEX's API and Edge Function CORS policies must:</w:t>
      </w:r>
    </w:p>
    <w:p>
      <w:pPr>
        <w:pStyle w:val="ListParagraph"/>
        <w:numPr>
          <w:ilvl w:val="0"/>
          <w:numId w:val="2"/>
        </w:numPr>
        <w:spacing w:after="40" w:before="40"/>
      </w:pPr>
      <w:r>
        <w:rPr>
          <w:rFonts w:ascii="Arial" w:cs="Arial" w:eastAsia="Arial" w:hAnsi="Arial"/>
          <w:color w:val="1A1A1A"/>
          <w:sz w:val="22"/>
          <w:szCs w:val="22"/>
        </w:rPr>
        <w:t>restrict the Access-Control-Allow-Origin header to specific, authorised domains - wildcard (*) CORS must not be used on any endpoint handling payment, personal information, or authenticated requests;</w:t>
      </w:r>
    </w:p>
    <w:p>
      <w:pPr>
        <w:pStyle w:val="ListParagraph"/>
        <w:numPr>
          <w:ilvl w:val="0"/>
          <w:numId w:val="2"/>
        </w:numPr>
        <w:spacing w:after="40" w:before="40"/>
      </w:pPr>
      <w:r>
        <w:rPr>
          <w:rFonts w:ascii="Arial" w:cs="Arial" w:eastAsia="Arial" w:hAnsi="Arial"/>
          <w:color w:val="1A1A1A"/>
          <w:sz w:val="22"/>
          <w:szCs w:val="22"/>
        </w:rPr>
        <w:t xml:space="preserve">restrict allowed HTTP methods to those actually needed by each endpoint;</w:t>
      </w:r>
    </w:p>
    <w:p>
      <w:pPr>
        <w:pStyle w:val="ListParagraph"/>
        <w:numPr>
          <w:ilvl w:val="0"/>
          <w:numId w:val="2"/>
        </w:numPr>
        <w:spacing w:after="40" w:before="40"/>
      </w:pPr>
      <w:r>
        <w:rPr>
          <w:rFonts w:ascii="Arial" w:cs="Arial" w:eastAsia="Arial" w:hAnsi="Arial"/>
          <w:color w:val="1A1A1A"/>
          <w:sz w:val="22"/>
          <w:szCs w:val="22"/>
        </w:rPr>
        <w:t xml:space="preserve">be reviewed as part of every change to API or Edge Function configurations.</w:t>
      </w:r>
    </w:p>
    <w:p>
      <w:pPr>
        <w:shd w:fill="EEF4FB" w:val="clear"/>
        <w:spacing w:after="80" w:before="80"/>
        <w:ind w:left="360" w:right="360"/>
      </w:pPr>
      <w:r>
        <w:rPr>
          <w:rFonts w:ascii="Arial" w:cs="Arial" w:eastAsia="Arial" w:hAnsi="Arial"/>
          <w:i/>
          <w:iCs/>
          <w:color w:val="2F5496"/>
          <w:sz w:val="20"/>
          <w:szCs w:val="20"/>
        </w:rPr>
        <w:t xml:space="preserve">INTERNAL NOTE: ANIMEX's pre-launch gap includes wildcard CORS on the PayFast Edge Function. This is a Critical security fix required before go-live.</w:t>
      </w:r>
    </w:p>
    <w:p>
      <w:pPr>
        <w:pStyle w:val="Heading2"/>
        <w:spacing w:after="120" w:before="280"/>
      </w:pPr>
      <w:r>
        <w:rPr>
          <w:rFonts w:ascii="Arial" w:cs="Arial" w:eastAsia="Arial" w:hAnsi="Arial"/>
          <w:b/>
          <w:bCs/>
          <w:color w:val="1A1A1A"/>
          <w:sz w:val="26"/>
          <w:szCs w:val="26"/>
        </w:rPr>
        <w:t xml:space="preserve">5.7  Content Security Policy</w:t>
      </w:r>
    </w:p>
    <w:p>
      <w:pPr>
        <w:spacing w:after="80" w:before="80"/>
      </w:pPr>
      <w:r>
        <w:rPr>
          <w:rFonts w:ascii="Arial" w:cs="Arial" w:eastAsia="Arial" w:hAnsi="Arial"/>
          <w:color w:val="1A1A1A"/>
          <w:sz w:val="22"/>
          <w:szCs w:val="22"/>
        </w:rPr>
        <w:t xml:space="preserve">ANIMEX must configure a Content Security Policy (CSP) header on all Platform pages and API responses:</w:t>
      </w:r>
    </w:p>
    <w:p>
      <w:pPr>
        <w:pStyle w:val="ListParagraph"/>
        <w:numPr>
          <w:ilvl w:val="0"/>
          <w:numId w:val="2"/>
        </w:numPr>
        <w:spacing w:after="40" w:before="40"/>
      </w:pPr>
      <w:r>
        <w:rPr>
          <w:rFonts w:ascii="Arial" w:cs="Arial" w:eastAsia="Arial" w:hAnsi="Arial"/>
          <w:color w:val="1A1A1A"/>
          <w:sz w:val="22"/>
          <w:szCs w:val="22"/>
        </w:rPr>
        <w:t>CSP must be in enforcement mode (Content-Security-Policy) - not report-only (Content-Security-Policy-Report-Only) - before go-live;</w:t>
      </w:r>
    </w:p>
    <w:p>
      <w:pPr>
        <w:pStyle w:val="ListParagraph"/>
        <w:numPr>
          <w:ilvl w:val="0"/>
          <w:numId w:val="2"/>
        </w:numPr>
        <w:spacing w:after="40" w:before="40"/>
      </w:pPr>
      <w:r>
        <w:rPr>
          <w:rFonts w:ascii="Arial" w:cs="Arial" w:eastAsia="Arial" w:hAnsi="Arial"/>
          <w:color w:val="1A1A1A"/>
          <w:sz w:val="22"/>
          <w:szCs w:val="22"/>
        </w:rPr>
        <w:t xml:space="preserve">CSP must restrict script sources, style sources, image sources, frame ancestors, and form action targets to explicitly approved origins;</w:t>
      </w:r>
    </w:p>
    <w:p>
      <w:pPr>
        <w:pStyle w:val="ListParagraph"/>
        <w:numPr>
          <w:ilvl w:val="0"/>
          <w:numId w:val="2"/>
        </w:numPr>
        <w:spacing w:after="40" w:before="40"/>
      </w:pPr>
      <w:r>
        <w:rPr>
          <w:rFonts w:ascii="Arial" w:cs="Arial" w:eastAsia="Arial" w:hAnsi="Arial"/>
          <w:color w:val="1A1A1A"/>
          <w:sz w:val="22"/>
          <w:szCs w:val="22"/>
        </w:rPr>
        <w:t xml:space="preserve">CSP violations must be reported to a monitoring endpoint for review;</w:t>
      </w:r>
    </w:p>
    <w:p>
      <w:pPr>
        <w:pStyle w:val="ListParagraph"/>
        <w:numPr>
          <w:ilvl w:val="0"/>
          <w:numId w:val="2"/>
        </w:numPr>
        <w:spacing w:after="40" w:before="40"/>
      </w:pPr>
      <w:r>
        <w:rPr>
          <w:rFonts w:ascii="Arial" w:cs="Arial" w:eastAsia="Arial" w:hAnsi="Arial"/>
          <w:color w:val="1A1A1A"/>
          <w:sz w:val="22"/>
          <w:szCs w:val="22"/>
        </w:rPr>
        <w:t xml:space="preserve">CSP must be tested against the Platform's actual content to avoid blocking legitimate functionality before enforcement is activated.</w:t>
      </w:r>
    </w:p>
    <w:p>
      <w:pPr>
        <w:shd w:fill="EEF4FB" w:val="clear"/>
        <w:spacing w:after="80" w:before="80"/>
        <w:ind w:left="360" w:right="360"/>
      </w:pPr>
      <w:r>
        <w:rPr>
          <w:rFonts w:ascii="Arial" w:cs="Arial" w:eastAsia="Arial" w:hAnsi="Arial"/>
          <w:i/>
          <w:iCs/>
          <w:color w:val="2F5496"/>
          <w:sz w:val="20"/>
          <w:szCs w:val="20"/>
        </w:rPr>
        <w:t>INTERNAL NOTE: ANIMEX's pre-launch gap includes a enforced CSP in netlify.toml, with production-domain testing and removal of development-only frame ancestors where not required. Moving to enforcement mode is a Critical pre-launch fix.</w:t>
      </w:r>
    </w:p>
    <w:p>
      <w:pPr>
        <w:pStyle w:val="Heading2"/>
        <w:spacing w:after="120" w:before="280"/>
      </w:pPr>
      <w:r>
        <w:rPr>
          <w:rFonts w:ascii="Arial" w:cs="Arial" w:eastAsia="Arial" w:hAnsi="Arial"/>
          <w:b/>
          <w:bCs/>
          <w:color w:val="1A1A1A"/>
          <w:sz w:val="26"/>
          <w:szCs w:val="26"/>
        </w:rPr>
        <w:t xml:space="preserve">5.8  Logging and Monitoring</w:t>
      </w:r>
    </w:p>
    <w:p>
      <w:pPr>
        <w:spacing w:after="80" w:before="80"/>
      </w:pPr>
      <w:r>
        <w:rPr>
          <w:rFonts w:ascii="Arial" w:cs="Arial" w:eastAsia="Arial" w:hAnsi="Arial"/>
          <w:color w:val="1A1A1A"/>
          <w:sz w:val="22"/>
          <w:szCs w:val="22"/>
        </w:rPr>
        <w:t xml:space="preserve">ANIMEX must maintain security logs covering:</w:t>
      </w:r>
    </w:p>
    <w:p>
      <w:pPr>
        <w:pStyle w:val="ListParagraph"/>
        <w:numPr>
          <w:ilvl w:val="0"/>
          <w:numId w:val="2"/>
        </w:numPr>
        <w:spacing w:after="40" w:before="40"/>
      </w:pPr>
      <w:r>
        <w:rPr>
          <w:rFonts w:ascii="Arial" w:cs="Arial" w:eastAsia="Arial" w:hAnsi="Arial"/>
          <w:color w:val="1A1A1A"/>
          <w:sz w:val="22"/>
          <w:szCs w:val="22"/>
        </w:rPr>
        <w:t xml:space="preserve">all authentication events (successful and failed logins, MFA events, password resets);</w:t>
      </w:r>
    </w:p>
    <w:p>
      <w:pPr>
        <w:pStyle w:val="ListParagraph"/>
        <w:numPr>
          <w:ilvl w:val="0"/>
          <w:numId w:val="2"/>
        </w:numPr>
        <w:spacing w:after="40" w:before="40"/>
      </w:pPr>
      <w:r>
        <w:rPr>
          <w:rFonts w:ascii="Arial" w:cs="Arial" w:eastAsia="Arial" w:hAnsi="Arial"/>
          <w:color w:val="1A1A1A"/>
          <w:sz w:val="22"/>
          <w:szCs w:val="22"/>
        </w:rPr>
        <w:t xml:space="preserve">all admin and privileged actions (account changes, payout releases, moderation actions, role assignments);</w:t>
      </w:r>
    </w:p>
    <w:p>
      <w:pPr>
        <w:pStyle w:val="ListParagraph"/>
        <w:numPr>
          <w:ilvl w:val="0"/>
          <w:numId w:val="2"/>
        </w:numPr>
        <w:spacing w:after="40" w:before="40"/>
      </w:pPr>
      <w:r>
        <w:rPr>
          <w:rFonts w:ascii="Arial" w:cs="Arial" w:eastAsia="Arial" w:hAnsi="Arial"/>
          <w:color w:val="1A1A1A"/>
          <w:sz w:val="22"/>
          <w:szCs w:val="22"/>
        </w:rPr>
        <w:t xml:space="preserve">all payment and payout events;</w:t>
      </w:r>
    </w:p>
    <w:p>
      <w:pPr>
        <w:pStyle w:val="ListParagraph"/>
        <w:numPr>
          <w:ilvl w:val="0"/>
          <w:numId w:val="2"/>
        </w:numPr>
        <w:spacing w:after="40" w:before="40"/>
      </w:pPr>
      <w:r>
        <w:rPr>
          <w:rFonts w:ascii="Arial" w:cs="Arial" w:eastAsia="Arial" w:hAnsi="Arial"/>
          <w:color w:val="1A1A1A"/>
          <w:sz w:val="22"/>
          <w:szCs w:val="22"/>
        </w:rPr>
        <w:t xml:space="preserve">API error rates and anomalous traffic patterns;</w:t>
      </w:r>
    </w:p>
    <w:p>
      <w:pPr>
        <w:pStyle w:val="ListParagraph"/>
        <w:numPr>
          <w:ilvl w:val="0"/>
          <w:numId w:val="2"/>
        </w:numPr>
        <w:spacing w:after="40" w:before="40"/>
      </w:pPr>
      <w:r>
        <w:rPr>
          <w:rFonts w:ascii="Arial" w:cs="Arial" w:eastAsia="Arial" w:hAnsi="Arial"/>
          <w:color w:val="1A1A1A"/>
          <w:sz w:val="22"/>
          <w:szCs w:val="22"/>
        </w:rPr>
        <w:t xml:space="preserve">dependency vulnerability scan results.</w:t>
      </w:r>
    </w:p>
    <w:p>
      <w:pPr>
        <w:spacing w:after="80" w:before="80"/>
      </w:pPr>
      <w:r>
        <w:rPr>
          <w:rFonts w:ascii="Arial" w:cs="Arial" w:eastAsia="Arial" w:hAnsi="Arial"/>
          <w:color w:val="1A1A1A"/>
          <w:sz w:val="22"/>
          <w:szCs w:val="22"/>
        </w:rPr>
        <w:t xml:space="preserve">Logs must: be tamper-evident (append-only where possible); be retained for minimum 3 years; generate automated alerts for: repeated authentication failures; admin actions outside business hours; sudden traffic spikes; and payment anomalies.</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6.  Secure Software Development Lifecycle (SSDLC) Policy</w:t>
      </w:r>
    </w:p>
    <w:p>
      <w:pPr>
        <w:pStyle w:val="Heading2"/>
        <w:spacing w:after="120" w:before="280"/>
      </w:pPr>
      <w:r>
        <w:rPr>
          <w:rFonts w:ascii="Arial" w:cs="Arial" w:eastAsia="Arial" w:hAnsi="Arial"/>
          <w:b/>
          <w:bCs/>
          <w:color w:val="1A1A1A"/>
          <w:sz w:val="26"/>
          <w:szCs w:val="26"/>
        </w:rPr>
        <w:t xml:space="preserve">6.1  Purpose</w:t>
      </w:r>
    </w:p>
    <w:p>
      <w:pPr>
        <w:spacing w:after="80" w:before="80"/>
      </w:pPr>
      <w:r>
        <w:rPr>
          <w:rFonts w:ascii="Arial" w:cs="Arial" w:eastAsia="Arial" w:hAnsi="Arial"/>
          <w:color w:val="1A1A1A"/>
          <w:sz w:val="22"/>
          <w:szCs w:val="22"/>
        </w:rPr>
        <w:t xml:space="preserve">This policy embeds security into ANIMEX's software development process from design through deployment, ensuring that security and privacy considerations are addressed at every stage rather than retrofitted.</w:t>
      </w:r>
    </w:p>
    <w:p>
      <w:pPr>
        <w:pStyle w:val="Heading2"/>
        <w:spacing w:after="120" w:before="280"/>
      </w:pPr>
      <w:r>
        <w:rPr>
          <w:rFonts w:ascii="Arial" w:cs="Arial" w:eastAsia="Arial" w:hAnsi="Arial"/>
          <w:b/>
          <w:bCs/>
          <w:color w:val="1A1A1A"/>
          <w:sz w:val="26"/>
          <w:szCs w:val="26"/>
        </w:rPr>
        <w:t xml:space="preserve">6.2  Security Requirements Phase</w:t>
      </w:r>
    </w:p>
    <w:p>
      <w:pPr>
        <w:spacing w:after="80" w:before="80"/>
      </w:pPr>
      <w:r>
        <w:rPr>
          <w:rFonts w:ascii="Arial" w:cs="Arial" w:eastAsia="Arial" w:hAnsi="Arial"/>
          <w:color w:val="1A1A1A"/>
          <w:sz w:val="22"/>
          <w:szCs w:val="22"/>
        </w:rPr>
        <w:t>Before building any new feature that: processes User personal information; handles payments or payouts; changes authentication or authorisation logic; adds a new third-party integration; or modifies file upload, image processing, or Edge Function logic - the following must be completed:</w:t>
      </w:r>
    </w:p>
    <w:p>
      <w:pPr>
        <w:pStyle w:val="ListParagraph"/>
        <w:numPr>
          <w:ilvl w:val="0"/>
          <w:numId w:val="2"/>
        </w:numPr>
        <w:spacing w:after="40" w:before="40"/>
      </w:pPr>
      <w:r>
        <w:rPr>
          <w:rFonts w:ascii="Arial" w:cs="Arial" w:eastAsia="Arial" w:hAnsi="Arial"/>
          <w:color w:val="1A1A1A"/>
          <w:sz w:val="22"/>
          <w:szCs w:val="22"/>
        </w:rPr>
        <w:t xml:space="preserve">threat model: identify potential threats to the feature and the data it handles;</w:t>
      </w:r>
    </w:p>
    <w:p>
      <w:pPr>
        <w:pStyle w:val="ListParagraph"/>
        <w:numPr>
          <w:ilvl w:val="0"/>
          <w:numId w:val="2"/>
        </w:numPr>
        <w:spacing w:after="40" w:before="40"/>
      </w:pPr>
      <w:r>
        <w:rPr>
          <w:rFonts w:ascii="Arial" w:cs="Arial" w:eastAsia="Arial" w:hAnsi="Arial"/>
          <w:color w:val="1A1A1A"/>
          <w:sz w:val="22"/>
          <w:szCs w:val="22"/>
        </w:rPr>
        <w:t xml:space="preserve">privacy impact: assess whether a POPIA Privacy Impact Assessment (PIA) is required (any new processing of special personal information, significant change to data flows, or new third-party sharing requires a PIA);</w:t>
      </w:r>
    </w:p>
    <w:p>
      <w:pPr>
        <w:pStyle w:val="ListParagraph"/>
        <w:numPr>
          <w:ilvl w:val="0"/>
          <w:numId w:val="2"/>
        </w:numPr>
        <w:spacing w:after="40" w:before="40"/>
      </w:pPr>
      <w:r>
        <w:rPr>
          <w:rFonts w:ascii="Arial" w:cs="Arial" w:eastAsia="Arial" w:hAnsi="Arial"/>
          <w:color w:val="1A1A1A"/>
          <w:sz w:val="22"/>
          <w:szCs w:val="22"/>
        </w:rPr>
        <w:t xml:space="preserve">security acceptance criteria: define specific security tests that must pass before the feature is released.</w:t>
      </w:r>
    </w:p>
    <w:p>
      <w:pPr>
        <w:pStyle w:val="Heading2"/>
        <w:spacing w:after="120" w:before="280"/>
      </w:pPr>
      <w:r>
        <w:rPr>
          <w:rFonts w:ascii="Arial" w:cs="Arial" w:eastAsia="Arial" w:hAnsi="Arial"/>
          <w:b/>
          <w:bCs/>
          <w:color w:val="1A1A1A"/>
          <w:sz w:val="26"/>
          <w:szCs w:val="26"/>
        </w:rPr>
        <w:t xml:space="preserve">6.3  Development Phase</w:t>
      </w:r>
    </w:p>
    <w:p>
      <w:pPr>
        <w:spacing w:after="80" w:before="80"/>
      </w:pPr>
      <w:r>
        <w:rPr>
          <w:rFonts w:ascii="Arial" w:cs="Arial" w:eastAsia="Arial" w:hAnsi="Arial"/>
          <w:color w:val="1A1A1A"/>
          <w:sz w:val="22"/>
          <w:szCs w:val="22"/>
        </w:rPr>
        <w:t xml:space="preserve">During development, all engineers must:</w:t>
      </w:r>
    </w:p>
    <w:p>
      <w:pPr>
        <w:pStyle w:val="ListParagraph"/>
        <w:numPr>
          <w:ilvl w:val="0"/>
          <w:numId w:val="2"/>
        </w:numPr>
        <w:spacing w:after="40" w:before="40"/>
      </w:pPr>
      <w:r>
        <w:rPr>
          <w:rFonts w:ascii="Arial" w:cs="Arial" w:eastAsia="Arial" w:hAnsi="Arial"/>
          <w:color w:val="1A1A1A"/>
          <w:sz w:val="22"/>
          <w:szCs w:val="22"/>
        </w:rPr>
        <w:t xml:space="preserve">follow the OWASP Secure Coding Practices and Top 10 mitigations;</w:t>
      </w:r>
    </w:p>
    <w:p>
      <w:pPr>
        <w:pStyle w:val="ListParagraph"/>
        <w:numPr>
          <w:ilvl w:val="0"/>
          <w:numId w:val="2"/>
        </w:numPr>
        <w:spacing w:after="40" w:before="40"/>
      </w:pPr>
      <w:r>
        <w:rPr>
          <w:rFonts w:ascii="Arial" w:cs="Arial" w:eastAsia="Arial" w:hAnsi="Arial"/>
          <w:color w:val="1A1A1A"/>
          <w:sz w:val="22"/>
          <w:szCs w:val="22"/>
        </w:rPr>
        <w:t>never use production User data in development or staging - use synthetic or anonymised test data only;</w:t>
      </w:r>
    </w:p>
    <w:p>
      <w:pPr>
        <w:pStyle w:val="ListParagraph"/>
        <w:numPr>
          <w:ilvl w:val="0"/>
          <w:numId w:val="2"/>
        </w:numPr>
        <w:spacing w:after="40" w:before="40"/>
      </w:pPr>
      <w:r>
        <w:rPr>
          <w:rFonts w:ascii="Arial" w:cs="Arial" w:eastAsia="Arial" w:hAnsi="Arial"/>
          <w:color w:val="1A1A1A"/>
          <w:sz w:val="22"/>
          <w:szCs w:val="22"/>
        </w:rPr>
        <w:t>never commit secrets, credentials, or API keys to the repository - use pre-commit hooks to detect and block secret commits;</w:t>
      </w:r>
    </w:p>
    <w:p>
      <w:pPr>
        <w:pStyle w:val="ListParagraph"/>
        <w:numPr>
          <w:ilvl w:val="0"/>
          <w:numId w:val="2"/>
        </w:numPr>
        <w:spacing w:after="40" w:before="40"/>
      </w:pPr>
      <w:r>
        <w:rPr>
          <w:rFonts w:ascii="Arial" w:cs="Arial" w:eastAsia="Arial" w:hAnsi="Arial"/>
          <w:color w:val="1A1A1A"/>
          <w:sz w:val="22"/>
          <w:szCs w:val="22"/>
        </w:rPr>
        <w:t>validate and sanitise all user inputs server-side - client-side validation alone is not sufficient;</w:t>
      </w:r>
    </w:p>
    <w:p>
      <w:pPr>
        <w:pStyle w:val="ListParagraph"/>
        <w:numPr>
          <w:ilvl w:val="0"/>
          <w:numId w:val="2"/>
        </w:numPr>
        <w:spacing w:after="40" w:before="40"/>
      </w:pPr>
      <w:r>
        <w:rPr>
          <w:rFonts w:ascii="Arial" w:cs="Arial" w:eastAsia="Arial" w:hAnsi="Arial"/>
          <w:color w:val="1A1A1A"/>
          <w:sz w:val="22"/>
          <w:szCs w:val="22"/>
        </w:rPr>
        <w:t>implement authorisation checks at the API/Edge Function layer - never rely solely on client-side access control;</w:t>
      </w:r>
    </w:p>
    <w:p>
      <w:pPr>
        <w:pStyle w:val="ListParagraph"/>
        <w:numPr>
          <w:ilvl w:val="0"/>
          <w:numId w:val="2"/>
        </w:numPr>
        <w:spacing w:after="40" w:before="40"/>
      </w:pPr>
      <w:r>
        <w:rPr>
          <w:rFonts w:ascii="Arial" w:cs="Arial" w:eastAsia="Arial" w:hAnsi="Arial"/>
          <w:color w:val="1A1A1A"/>
          <w:sz w:val="22"/>
          <w:szCs w:val="22"/>
        </w:rPr>
        <w:t xml:space="preserve">use parameterised queries for all database interactions to prevent SQL injection;</w:t>
      </w:r>
    </w:p>
    <w:p>
      <w:pPr>
        <w:pStyle w:val="ListParagraph"/>
        <w:numPr>
          <w:ilvl w:val="0"/>
          <w:numId w:val="2"/>
        </w:numPr>
        <w:spacing w:after="40" w:before="40"/>
      </w:pPr>
      <w:r>
        <w:rPr>
          <w:rFonts w:ascii="Arial" w:cs="Arial" w:eastAsia="Arial" w:hAnsi="Arial"/>
          <w:color w:val="1A1A1A"/>
          <w:sz w:val="22"/>
          <w:szCs w:val="22"/>
        </w:rPr>
        <w:t xml:space="preserve">apply Supabase RLS policies correctly for every new table or updated data access pattern.</w:t>
      </w:r>
    </w:p>
    <w:p>
      <w:pPr>
        <w:pStyle w:val="Heading2"/>
        <w:spacing w:after="120" w:before="280"/>
      </w:pPr>
      <w:r>
        <w:rPr>
          <w:rFonts w:ascii="Arial" w:cs="Arial" w:eastAsia="Arial" w:hAnsi="Arial"/>
          <w:b/>
          <w:bCs/>
          <w:color w:val="1A1A1A"/>
          <w:sz w:val="26"/>
          <w:szCs w:val="26"/>
        </w:rPr>
        <w:t xml:space="preserve">6.4  Code Review Phase</w:t>
      </w:r>
    </w:p>
    <w:p>
      <w:pPr>
        <w:spacing w:after="80" w:before="80"/>
      </w:pPr>
      <w:r>
        <w:rPr>
          <w:rFonts w:ascii="Arial" w:cs="Arial" w:eastAsia="Arial" w:hAnsi="Arial"/>
          <w:color w:val="1A1A1A"/>
          <w:sz w:val="22"/>
          <w:szCs w:val="22"/>
        </w:rPr>
        <w:t xml:space="preserve">All code changes to production systems must undergo peer review before merging:</w:t>
      </w:r>
    </w:p>
    <w:p>
      <w:pPr>
        <w:pStyle w:val="ListParagraph"/>
        <w:numPr>
          <w:ilvl w:val="0"/>
          <w:numId w:val="2"/>
        </w:numPr>
        <w:spacing w:after="40" w:before="40"/>
      </w:pPr>
      <w:r>
        <w:rPr>
          <w:rFonts w:ascii="Arial" w:cs="Arial" w:eastAsia="Arial" w:hAnsi="Arial"/>
          <w:color w:val="1A1A1A"/>
          <w:sz w:val="22"/>
          <w:szCs w:val="22"/>
        </w:rPr>
        <w:t xml:space="preserve">a minimum of one engineer other than the author must review and approve every pull request;</w:t>
      </w:r>
    </w:p>
    <w:p>
      <w:pPr>
        <w:pStyle w:val="ListParagraph"/>
        <w:numPr>
          <w:ilvl w:val="0"/>
          <w:numId w:val="2"/>
        </w:numPr>
        <w:spacing w:after="40" w:before="40"/>
      </w:pPr>
      <w:r>
        <w:rPr>
          <w:rFonts w:ascii="Arial" w:cs="Arial" w:eastAsia="Arial" w:hAnsi="Arial"/>
          <w:color w:val="1A1A1A"/>
          <w:sz w:val="22"/>
          <w:szCs w:val="22"/>
        </w:rPr>
        <w:t xml:space="preserve">changes to payment flows, authentication, RLS policies, CORS configuration, JWT handling, file upload validation, or Edge Functions require explicit security review and CTO approval;</w:t>
      </w:r>
    </w:p>
    <w:p>
      <w:pPr>
        <w:pStyle w:val="ListParagraph"/>
        <w:numPr>
          <w:ilvl w:val="0"/>
          <w:numId w:val="2"/>
        </w:numPr>
        <w:spacing w:after="40" w:before="40"/>
      </w:pPr>
      <w:r>
        <w:rPr>
          <w:rFonts w:ascii="Arial" w:cs="Arial" w:eastAsia="Arial" w:hAnsi="Arial"/>
          <w:color w:val="1A1A1A"/>
          <w:sz w:val="22"/>
          <w:szCs w:val="22"/>
        </w:rPr>
        <w:t xml:space="preserve">automated static analysis (linting, type checking, security scanning) must pass before review is complete;</w:t>
      </w:r>
    </w:p>
    <w:p>
      <w:pPr>
        <w:pStyle w:val="ListParagraph"/>
        <w:numPr>
          <w:ilvl w:val="0"/>
          <w:numId w:val="2"/>
        </w:numPr>
        <w:spacing w:after="40" w:before="40"/>
      </w:pPr>
      <w:r>
        <w:rPr>
          <w:rFonts w:ascii="Arial" w:cs="Arial" w:eastAsia="Arial" w:hAnsi="Arial"/>
          <w:color w:val="1A1A1A"/>
          <w:sz w:val="22"/>
          <w:szCs w:val="22"/>
        </w:rPr>
        <w:t xml:space="preserve">reviewers must specifically consider: authentication and authorisation correctness; input validation; output encoding; error handling (no sensitive data in error messages); and secret management.</w:t>
      </w:r>
    </w:p>
    <w:p>
      <w:pPr>
        <w:pStyle w:val="Heading2"/>
        <w:spacing w:after="120" w:before="280"/>
      </w:pPr>
      <w:r>
        <w:rPr>
          <w:rFonts w:ascii="Arial" w:cs="Arial" w:eastAsia="Arial" w:hAnsi="Arial"/>
          <w:b/>
          <w:bCs/>
          <w:color w:val="1A1A1A"/>
          <w:sz w:val="26"/>
          <w:szCs w:val="26"/>
        </w:rPr>
        <w:t xml:space="preserve">6.5  Testing Phase</w:t>
      </w:r>
    </w:p>
    <w:p>
      <w:pPr>
        <w:spacing w:after="80" w:before="80"/>
      </w:pPr>
      <w:r>
        <w:rPr>
          <w:rFonts w:ascii="Arial" w:cs="Arial" w:eastAsia="Arial" w:hAnsi="Arial"/>
          <w:color w:val="1A1A1A"/>
          <w:sz w:val="22"/>
          <w:szCs w:val="22"/>
        </w:rPr>
        <w:t xml:space="preserve">Before deployment to production:</w:t>
      </w:r>
    </w:p>
    <w:p>
      <w:pPr>
        <w:pStyle w:val="ListParagraph"/>
        <w:numPr>
          <w:ilvl w:val="0"/>
          <w:numId w:val="2"/>
        </w:numPr>
        <w:spacing w:after="40" w:before="40"/>
      </w:pPr>
      <w:r>
        <w:rPr>
          <w:rFonts w:ascii="Arial" w:cs="Arial" w:eastAsia="Arial" w:hAnsi="Arial"/>
          <w:color w:val="1A1A1A"/>
          <w:sz w:val="22"/>
          <w:szCs w:val="22"/>
        </w:rPr>
        <w:t xml:space="preserve">unit tests and integration tests must cover security-critical paths including: authentication flows; authorisation checks; payment processing; input validation; and RLS policy enforcement;</w:t>
      </w:r>
    </w:p>
    <w:p>
      <w:pPr>
        <w:pStyle w:val="ListParagraph"/>
        <w:numPr>
          <w:ilvl w:val="0"/>
          <w:numId w:val="2"/>
        </w:numPr>
        <w:spacing w:after="40" w:before="40"/>
      </w:pPr>
      <w:r>
        <w:rPr>
          <w:rFonts w:ascii="Arial" w:cs="Arial" w:eastAsia="Arial" w:hAnsi="Arial"/>
          <w:color w:val="1A1A1A"/>
          <w:sz w:val="22"/>
          <w:szCs w:val="22"/>
        </w:rPr>
        <w:t xml:space="preserve">security-specific test cases must be run for any change touching the security acceptance criteria;</w:t>
      </w:r>
    </w:p>
    <w:p>
      <w:pPr>
        <w:pStyle w:val="ListParagraph"/>
        <w:numPr>
          <w:ilvl w:val="0"/>
          <w:numId w:val="2"/>
        </w:numPr>
        <w:spacing w:after="40" w:before="40"/>
      </w:pPr>
      <w:r>
        <w:rPr>
          <w:rFonts w:ascii="Arial" w:cs="Arial" w:eastAsia="Arial" w:hAnsi="Arial"/>
          <w:color w:val="1A1A1A"/>
          <w:sz w:val="22"/>
          <w:szCs w:val="22"/>
        </w:rPr>
        <w:t xml:space="preserve">no deployment may proceed with failing tests in the CI/CD pipeline.</w:t>
      </w:r>
    </w:p>
    <w:p>
      <w:pPr>
        <w:pStyle w:val="Heading2"/>
        <w:spacing w:after="120" w:before="280"/>
      </w:pPr>
      <w:r>
        <w:rPr>
          <w:rFonts w:ascii="Arial" w:cs="Arial" w:eastAsia="Arial" w:hAnsi="Arial"/>
          <w:b/>
          <w:bCs/>
          <w:color w:val="1A1A1A"/>
          <w:sz w:val="26"/>
          <w:szCs w:val="26"/>
        </w:rPr>
        <w:t xml:space="preserve">6.6  Deployment Phase</w:t>
      </w:r>
    </w:p>
    <w:p>
      <w:pPr>
        <w:spacing w:after="80" w:before="80"/>
      </w:pPr>
      <w:r>
        <w:rPr>
          <w:rFonts w:ascii="Arial" w:cs="Arial" w:eastAsia="Arial" w:hAnsi="Arial"/>
          <w:color w:val="1A1A1A"/>
          <w:sz w:val="22"/>
          <w:szCs w:val="22"/>
        </w:rPr>
        <w:t xml:space="preserve">Deployment to production must:</w:t>
      </w:r>
    </w:p>
    <w:p>
      <w:pPr>
        <w:pStyle w:val="ListParagraph"/>
        <w:numPr>
          <w:ilvl w:val="0"/>
          <w:numId w:val="2"/>
        </w:numPr>
        <w:spacing w:after="40" w:before="40"/>
      </w:pPr>
      <w:r>
        <w:rPr>
          <w:rFonts w:ascii="Arial" w:cs="Arial" w:eastAsia="Arial" w:hAnsi="Arial"/>
          <w:color w:val="1A1A1A"/>
          <w:sz w:val="22"/>
          <w:szCs w:val="22"/>
        </w:rPr>
        <w:t xml:space="preserve">follow the Change Management Policy (this pack, Section 2);</w:t>
      </w:r>
    </w:p>
    <w:p>
      <w:pPr>
        <w:pStyle w:val="ListParagraph"/>
        <w:numPr>
          <w:ilvl w:val="0"/>
          <w:numId w:val="2"/>
        </w:numPr>
        <w:spacing w:after="40" w:before="40"/>
      </w:pPr>
      <w:r>
        <w:rPr>
          <w:rFonts w:ascii="Arial" w:cs="Arial" w:eastAsia="Arial" w:hAnsi="Arial"/>
          <w:color w:val="1A1A1A"/>
          <w:sz w:val="22"/>
          <w:szCs w:val="22"/>
        </w:rPr>
        <w:t>be performed via the automated CI/CD pipeline - manual production deployments are prohibited except in documented emergencies;</w:t>
      </w:r>
    </w:p>
    <w:p>
      <w:pPr>
        <w:pStyle w:val="ListParagraph"/>
        <w:numPr>
          <w:ilvl w:val="0"/>
          <w:numId w:val="2"/>
        </w:numPr>
        <w:spacing w:after="40" w:before="40"/>
      </w:pPr>
      <w:r>
        <w:rPr>
          <w:rFonts w:ascii="Arial" w:cs="Arial" w:eastAsia="Arial" w:hAnsi="Arial"/>
          <w:color w:val="1A1A1A"/>
          <w:sz w:val="22"/>
          <w:szCs w:val="22"/>
        </w:rPr>
        <w:t xml:space="preserve">include a post-deployment smoke test verifying critical flows (login, Listing creation, payment, payout) are operational;</w:t>
      </w:r>
    </w:p>
    <w:p>
      <w:pPr>
        <w:pStyle w:val="ListParagraph"/>
        <w:numPr>
          <w:ilvl w:val="0"/>
          <w:numId w:val="2"/>
        </w:numPr>
        <w:spacing w:after="40" w:before="40"/>
      </w:pPr>
      <w:r>
        <w:rPr>
          <w:rFonts w:ascii="Arial" w:cs="Arial" w:eastAsia="Arial" w:hAnsi="Arial"/>
          <w:color w:val="1A1A1A"/>
          <w:sz w:val="22"/>
          <w:szCs w:val="22"/>
        </w:rPr>
        <w:t xml:space="preserve">have a confirmed rollback plan executable within 1 hour.</w:t>
      </w:r>
    </w:p>
    <w:p>
      <w:pPr>
        <w:pStyle w:val="Heading2"/>
        <w:spacing w:after="120" w:before="280"/>
      </w:pPr>
      <w:r>
        <w:rPr>
          <w:rFonts w:ascii="Arial" w:cs="Arial" w:eastAsia="Arial" w:hAnsi="Arial"/>
          <w:b/>
          <w:bCs/>
          <w:color w:val="1A1A1A"/>
          <w:sz w:val="26"/>
          <w:szCs w:val="26"/>
        </w:rPr>
        <w:t xml:space="preserve">6.7  Privacy Impact Assessments</w:t>
      </w:r>
    </w:p>
    <w:p>
      <w:pPr>
        <w:spacing w:after="80" w:before="80"/>
      </w:pPr>
      <w:r>
        <w:rPr>
          <w:rFonts w:ascii="Arial" w:cs="Arial" w:eastAsia="Arial" w:hAnsi="Arial"/>
          <w:color w:val="1A1A1A"/>
          <w:sz w:val="22"/>
          <w:szCs w:val="22"/>
        </w:rPr>
        <w:t xml:space="preserve">A Privacy Impact Assessment (PIA) is required before implementing any change that:</w:t>
      </w:r>
    </w:p>
    <w:p>
      <w:pPr>
        <w:pStyle w:val="ListParagraph"/>
        <w:numPr>
          <w:ilvl w:val="0"/>
          <w:numId w:val="2"/>
        </w:numPr>
        <w:spacing w:after="40" w:before="40"/>
      </w:pPr>
      <w:r>
        <w:rPr>
          <w:rFonts w:ascii="Arial" w:cs="Arial" w:eastAsia="Arial" w:hAnsi="Arial"/>
          <w:color w:val="1A1A1A"/>
          <w:sz w:val="22"/>
          <w:szCs w:val="22"/>
        </w:rPr>
        <w:t xml:space="preserve">introduces processing of new categories of personal information;</w:t>
      </w:r>
    </w:p>
    <w:p>
      <w:pPr>
        <w:pStyle w:val="ListParagraph"/>
        <w:numPr>
          <w:ilvl w:val="0"/>
          <w:numId w:val="2"/>
        </w:numPr>
        <w:spacing w:after="40" w:before="40"/>
      </w:pPr>
      <w:r>
        <w:rPr>
          <w:rFonts w:ascii="Arial" w:cs="Arial" w:eastAsia="Arial" w:hAnsi="Arial"/>
          <w:color w:val="1A1A1A"/>
          <w:sz w:val="22"/>
          <w:szCs w:val="22"/>
        </w:rPr>
        <w:t xml:space="preserve">involves processing special personal information as defined in POPIA;</w:t>
      </w:r>
    </w:p>
    <w:p>
      <w:pPr>
        <w:pStyle w:val="ListParagraph"/>
        <w:numPr>
          <w:ilvl w:val="0"/>
          <w:numId w:val="2"/>
        </w:numPr>
        <w:spacing w:after="40" w:before="40"/>
      </w:pPr>
      <w:r>
        <w:rPr>
          <w:rFonts w:ascii="Arial" w:cs="Arial" w:eastAsia="Arial" w:hAnsi="Arial"/>
          <w:color w:val="1A1A1A"/>
          <w:sz w:val="22"/>
          <w:szCs w:val="22"/>
        </w:rPr>
        <w:t xml:space="preserve">shares personal information with a new third party;</w:t>
      </w:r>
    </w:p>
    <w:p>
      <w:pPr>
        <w:pStyle w:val="ListParagraph"/>
        <w:numPr>
          <w:ilvl w:val="0"/>
          <w:numId w:val="2"/>
        </w:numPr>
        <w:spacing w:after="40" w:before="40"/>
      </w:pPr>
      <w:r>
        <w:rPr>
          <w:rFonts w:ascii="Arial" w:cs="Arial" w:eastAsia="Arial" w:hAnsi="Arial"/>
          <w:color w:val="1A1A1A"/>
          <w:sz w:val="22"/>
          <w:szCs w:val="22"/>
        </w:rPr>
        <w:t xml:space="preserve">introduces a new technology or system that processes User data at scale;</w:t>
      </w:r>
    </w:p>
    <w:p>
      <w:pPr>
        <w:pStyle w:val="ListParagraph"/>
        <w:numPr>
          <w:ilvl w:val="0"/>
          <w:numId w:val="2"/>
        </w:numPr>
        <w:spacing w:after="40" w:before="40"/>
      </w:pPr>
      <w:r>
        <w:rPr>
          <w:rFonts w:ascii="Arial" w:cs="Arial" w:eastAsia="Arial" w:hAnsi="Arial"/>
          <w:color w:val="1A1A1A"/>
          <w:sz w:val="22"/>
          <w:szCs w:val="22"/>
        </w:rPr>
        <w:t xml:space="preserve">significantly changes how personal information is collected, stored, used, or deleted.</w:t>
      </w:r>
    </w:p>
    <w:p>
      <w:pPr>
        <w:spacing w:after="80" w:before="80"/>
      </w:pPr>
      <w:r>
        <w:rPr>
          <w:rFonts w:ascii="Arial" w:cs="Arial" w:eastAsia="Arial" w:hAnsi="Arial"/>
          <w:color w:val="1A1A1A"/>
          <w:sz w:val="22"/>
          <w:szCs w:val="22"/>
        </w:rPr>
        <w:t xml:space="preserve">PIAs must be documented, reviewed by the Information Officer, and retained for the life of the feature plus 5 years.</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7.  Audit Logging Standard</w:t>
      </w:r>
    </w:p>
    <w:p>
      <w:pPr>
        <w:pStyle w:val="Heading2"/>
        <w:spacing w:after="120" w:before="280"/>
      </w:pPr>
      <w:r>
        <w:rPr>
          <w:rFonts w:ascii="Arial" w:cs="Arial" w:eastAsia="Arial" w:hAnsi="Arial"/>
          <w:b/>
          <w:bCs/>
          <w:color w:val="1A1A1A"/>
          <w:sz w:val="26"/>
          <w:szCs w:val="26"/>
        </w:rPr>
        <w:t xml:space="preserve">7.1  Purpose</w:t>
      </w:r>
    </w:p>
    <w:p>
      <w:pPr>
        <w:spacing w:after="80" w:before="80"/>
      </w:pPr>
      <w:r>
        <w:rPr>
          <w:rFonts w:ascii="Arial" w:cs="Arial" w:eastAsia="Arial" w:hAnsi="Arial"/>
          <w:color w:val="1A1A1A"/>
          <w:sz w:val="22"/>
          <w:szCs w:val="22"/>
        </w:rPr>
        <w:t xml:space="preserve">Audit logs are critical for security incident investigation, regulatory compliance, fraud detection, dispute resolution, and POPIA accountability. This standard defines what must be logged, how logs must be protected, and how they must be retained.</w:t>
      </w:r>
    </w:p>
    <w:p>
      <w:pPr>
        <w:pStyle w:val="Heading2"/>
        <w:spacing w:after="120" w:before="280"/>
      </w:pPr>
      <w:r>
        <w:rPr>
          <w:rFonts w:ascii="Arial" w:cs="Arial" w:eastAsia="Arial" w:hAnsi="Arial"/>
          <w:b/>
          <w:bCs/>
          <w:color w:val="1A1A1A"/>
          <w:sz w:val="26"/>
          <w:szCs w:val="26"/>
        </w:rPr>
        <w:t xml:space="preserve">7.2  Events That Must Be Logged</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Event Category</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Events Logged</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Minimum Log Fields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Authentication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All login attempts (success and failure); MFA events; password reset; session creation and expiry; logout</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ID, timestamp, IP address, device fingerprint, outcome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Account changes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Email change, phone change, bank detail change, role change, account suspension, account deletion</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Actor, target User ID, field changed, before/after values (masked for sensitive fields), timestamp, IP</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Admin actions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Any action by Admin or Super Admin role: ban, payout release, payout hold, refund, fee change, moderation action, role assignment</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Admin ID, action type, affected entity, reason code, timestamp, outcome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Payment and payout events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Payment initiated, payment confirmed, payment failed, payout released, payout held, payout reversed, chargeback received</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ID, transaction ID, amount, currency, Payment Provider reference, outcome, timestamp</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Listing events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Listing created, updated, published, suspended, removed; image uploaded or rejected</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ID, Listing ID, action, moderation reason where applicable, timestamp</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Dispute events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Dispute opened, evidence submitted, decision made, funds released/refunded, dispute closed</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Dispute ID, initiating User, respondent, action, actor, outcome, timestamp</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Data subject rights requests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Access, correction, deletion, objection, consent withdrawal requests received and actioned</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Request ID, data subject, right exercised, outcome, timestamp, handler</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Security events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Failed MFA; repeated failed logins; anomalous API traffic; vulnerability scan alerts; dependency alerts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Event type, source, affected system, severity, timestamp</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Configuration changes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Environment variable changes, Edge Function deployments, RLS policy changes, CORS updates, CSP changes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Actor, change description, system affected, timestamp</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7.3  Log Protection</w:t>
      </w:r>
    </w:p>
    <w:p>
      <w:pPr>
        <w:spacing w:after="80" w:before="80"/>
      </w:pPr>
      <w:r>
        <w:rPr>
          <w:rFonts w:ascii="Arial" w:cs="Arial" w:eastAsia="Arial" w:hAnsi="Arial"/>
          <w:color w:val="1A1A1A"/>
          <w:sz w:val="22"/>
          <w:szCs w:val="22"/>
        </w:rPr>
        <w:t xml:space="preserve">Audit logs must be:</w:t>
      </w:r>
    </w:p>
    <w:p>
      <w:pPr>
        <w:pStyle w:val="ListParagraph"/>
        <w:numPr>
          <w:ilvl w:val="0"/>
          <w:numId w:val="2"/>
        </w:numPr>
        <w:spacing w:after="40" w:before="40"/>
      </w:pPr>
      <w:r>
        <w:rPr>
          <w:rFonts w:ascii="Arial" w:cs="Arial" w:eastAsia="Arial" w:hAnsi="Arial"/>
          <w:color w:val="1A1A1A"/>
          <w:sz w:val="22"/>
          <w:szCs w:val="22"/>
        </w:rPr>
        <w:t xml:space="preserve">stored in a system where ordinary application users and support agents cannot modify or delete entries;</w:t>
      </w:r>
    </w:p>
    <w:p>
      <w:pPr>
        <w:pStyle w:val="ListParagraph"/>
        <w:numPr>
          <w:ilvl w:val="0"/>
          <w:numId w:val="2"/>
        </w:numPr>
        <w:spacing w:after="40" w:before="40"/>
      </w:pPr>
      <w:r>
        <w:rPr>
          <w:rFonts w:ascii="Arial" w:cs="Arial" w:eastAsia="Arial" w:hAnsi="Arial"/>
          <w:color w:val="1A1A1A"/>
          <w:sz w:val="22"/>
          <w:szCs w:val="22"/>
        </w:rPr>
        <w:t>append-only - no log entry may be edited or deleted by any automated process or human action;</w:t>
      </w:r>
    </w:p>
    <w:p>
      <w:pPr>
        <w:pStyle w:val="ListParagraph"/>
        <w:numPr>
          <w:ilvl w:val="0"/>
          <w:numId w:val="2"/>
        </w:numPr>
        <w:spacing w:after="40" w:before="40"/>
      </w:pPr>
      <w:r>
        <w:rPr>
          <w:rFonts w:ascii="Arial" w:cs="Arial" w:eastAsia="Arial" w:hAnsi="Arial"/>
          <w:color w:val="1A1A1A"/>
          <w:sz w:val="22"/>
          <w:szCs w:val="22"/>
        </w:rPr>
        <w:t xml:space="preserve">access-restricted to the CTO, Auditor role, and the Information Officer;</w:t>
      </w:r>
    </w:p>
    <w:p>
      <w:pPr>
        <w:pStyle w:val="ListParagraph"/>
        <w:numPr>
          <w:ilvl w:val="0"/>
          <w:numId w:val="2"/>
        </w:numPr>
        <w:spacing w:after="40" w:before="40"/>
      </w:pPr>
      <w:r>
        <w:rPr>
          <w:rFonts w:ascii="Arial" w:cs="Arial" w:eastAsia="Arial" w:hAnsi="Arial"/>
          <w:color w:val="1A1A1A"/>
          <w:sz w:val="22"/>
          <w:szCs w:val="22"/>
        </w:rPr>
        <w:t xml:space="preserve">backed up as part of ANIMEX's standard backup regime;</w:t>
      </w:r>
    </w:p>
    <w:p>
      <w:pPr>
        <w:pStyle w:val="ListParagraph"/>
        <w:numPr>
          <w:ilvl w:val="0"/>
          <w:numId w:val="2"/>
        </w:numPr>
        <w:spacing w:after="40" w:before="40"/>
      </w:pPr>
      <w:r>
        <w:rPr>
          <w:rFonts w:ascii="Arial" w:cs="Arial" w:eastAsia="Arial" w:hAnsi="Arial"/>
          <w:color w:val="1A1A1A"/>
          <w:sz w:val="22"/>
          <w:szCs w:val="22"/>
        </w:rPr>
        <w:t xml:space="preserve">monitored with automated alerts for unusual patterns (bulk deletions, off-hours privileged access, payment anomalies).</w:t>
      </w:r>
    </w:p>
    <w:p>
      <w:pPr>
        <w:pStyle w:val="Heading2"/>
        <w:spacing w:after="120" w:before="280"/>
      </w:pPr>
      <w:r>
        <w:rPr>
          <w:rFonts w:ascii="Arial" w:cs="Arial" w:eastAsia="Arial" w:hAnsi="Arial"/>
          <w:b/>
          <w:bCs/>
          <w:color w:val="1A1A1A"/>
          <w:sz w:val="26"/>
          <w:szCs w:val="26"/>
        </w:rPr>
        <w:t xml:space="preserve">7.4  Retention</w:t>
      </w:r>
    </w:p>
    <w:p>
      <w:pPr>
        <w:spacing w:after="80" w:before="80"/>
      </w:pPr>
      <w:r>
        <w:rPr>
          <w:rFonts w:ascii="Arial" w:cs="Arial" w:eastAsia="Arial" w:hAnsi="Arial"/>
          <w:color w:val="1A1A1A"/>
          <w:sz w:val="22"/>
          <w:szCs w:val="22"/>
        </w:rPr>
        <w:t xml:space="preserve">Audit logs must be retained for minimum 3 (three) years from the date of the event, consistent with the Records Retention Schedule (Core Legal Pack, Section 21). Logs related to a specific security incident, legal claim, or regulatory investigation must be preserved for the duration of that matter regardless of the standard retention period.</w:t>
      </w:r>
    </w:p>
    <w:p>
      <w:pPr>
        <w:pStyle w:val="Heading2"/>
        <w:spacing w:after="120" w:before="280"/>
      </w:pPr>
      <w:r>
        <w:rPr>
          <w:rFonts w:ascii="Arial" w:cs="Arial" w:eastAsia="Arial" w:hAnsi="Arial"/>
          <w:b/>
          <w:bCs/>
          <w:color w:val="1A1A1A"/>
          <w:sz w:val="26"/>
          <w:szCs w:val="26"/>
        </w:rPr>
        <w:t xml:space="preserve">7.5  Log Review</w:t>
      </w:r>
    </w:p>
    <w:p>
      <w:pPr>
        <w:spacing w:after="80" w:before="80"/>
      </w:pPr>
      <w:r>
        <w:rPr>
          <w:rFonts w:ascii="Arial" w:cs="Arial" w:eastAsia="Arial" w:hAnsi="Arial"/>
          <w:color w:val="1A1A1A"/>
          <w:sz w:val="22"/>
          <w:szCs w:val="22"/>
        </w:rPr>
        <w:t>The CTO must review security-relevant audit log summaries at least weekly. The Information Officer must review data subject rights request logs at least monthly. Unusual patterns - such as bulk data access, off-hours privileged actions, or repeated authentication failures - must be investigated within 1 business day of detection.</w:t>
      </w:r>
    </w:p>
    <w:p>
      <w:pPr>
        <w:pBdr>
          <w:bottom w:val="single" w:color="1F4E79" w:sz="6" w:space="1"/>
        </w:pBdr>
        <w:spacing w:after="200" w:before="200"/>
      </w:pPr>
      <w:r>
        <w:t xml:space="preserve"/>
      </w:r>
    </w:p>
    <w:p>
      <w:pPr>
        <w:spacing w:after="80" w:before="80"/>
      </w:pPr>
      <w:r>
        <w:rPr>
          <w:rFonts w:ascii="Arial" w:cs="Arial" w:eastAsia="Arial" w:hAnsi="Arial"/>
          <w:color w:val="1A1A1A"/>
          <w:sz w:val="22"/>
          <w:szCs w:val="22"/>
        </w:rPr>
        <w:t>ANIMEX Platform Technical &amp; Security Pack - Version 4.0 - Effective Date: Pending approval/publication</w:t>
      </w:r>
    </w:p>
    <w:p>
      <w:pPr>
        <w:spacing w:after="80" w:before="80"/>
      </w:pPr>
      <w:r>
        <w:rPr>
          <w:rFonts w:ascii="Arial" w:cs="Arial" w:eastAsia="Arial" w:hAnsi="Arial"/>
          <w:color w:val="1A1A1A"/>
          <w:sz w:val="22"/>
          <w:szCs w:val="22"/>
        </w:rPr>
        <w:t xml:space="preserve">This document requires qualified South African legal and technical security review before implementation.</w:t>
      </w:r>
    </w:p>
    <w:p>
      <w:r>
        <w:br w:type="page"/>
      </w:r>
    </w:p>
    <w:p>
      <w:r>
        <w:t>V4 Accuracy, Factuality, and Webapp-Alignment Statement</w:t>
      </w:r>
    </w:p>
    <w:p>
      <w:r>
        <w:rPr>
          <w:b/>
          <w:sz w:val="32"/>
        </w:rPr>
        <w:t>V4 Accuracy, Factuality, and Webapp-Alignment Statement</w:t>
      </w:r>
    </w:p>
    <w:p>
      <w:r>
        <w:t>This Version 4.0 document was prepared using the supplied app reference ZIP (animexofficial-d4e558a3-main.zip) and the uploaded V3 policy packs as the baseline. It reflects the webapp structure, company configuration, categories, routes, payment-state model, Supabase/Netlify/PayFast architecture, and Control Room features visible in the ZIP as at 11 May 2026.</w:t>
      </w:r>
    </w:p>
    <w:p>
      <w:r>
        <w:t>No registered-office address, VAT number/status, Information Officer name, final fee amounts, final internal approval thresholds, insurance limits, bank-account details, or role-specific HR contract fields were present in the supplied app ZIP. Those items are marked as ACTION REQUIRED or TEMPLATE FIELD rather than invented.</w:t>
      </w:r>
    </w:p>
    <w:p>
      <w:r>
        <w:t>Where legal, tax, labour, or regulatory facts may change, this document uses checked public-source wording current for this draft and requires final review by the appropriate South African attorney, tax practitioner, labour adviser, information officer, insurer, payment provider, and technical security reviewer before production use.</w:t>
      </w:r>
    </w:p>
    <w:p>
      <w:r>
        <w:t>If the webapp implementation and this document conflict, the affected app flow must not launch until the discrepancy is resolved by updating the code, updating published app copy, or revising this document through the Control Room terms/versioning process.</w:t>
      </w:r>
    </w:p>
    <w:p>
      <w:r>
        <w:t>Webapp alignment - technical security findings from supplied ZIP</w:t>
      </w:r>
    </w:p>
    <w:p>
      <w:r>
        <w:rPr>
          <w:b/>
          <w:sz w:val="26"/>
        </w:rPr>
        <w:t>Webapp alignment - technical security findings from supplied ZIP</w:t>
      </w:r>
    </w:p>
    <w:p>
      <w:r>
        <w:t>- Stack verified: React + Vite SPA, Supabase Postgres/Auth/Storage/Edge Functions, Netlify deployment headers, PayFast functions, Playwright/E2E tooling, and Sentry dependency/configuration areas.</w:t>
      </w:r>
    </w:p>
    <w:p>
      <w:r>
        <w:t>- supabase/config.toml sets verify_jwt=false for listed Edge Functions. This is not automatically wrong for public webhooks, but every function must have compensating controls: PayFast ITN signature/IP validation, user Bearer-token validation for confirm functions, internal cron secrets for scheduled jobs, idempotency, RLS, least-privilege service-role use, and audit logging.</w:t>
      </w:r>
    </w:p>
    <w:p>
      <w:r>
        <w:t>- PayFast return-confirmation functions echo request origin in CORS headers. Before live payments, restrict allowed origins to production and staging frontend domains only.</w:t>
      </w:r>
    </w:p>
    <w:p>
      <w:r>
        <w:t>- The inspected PayFast ITN function does not contain an adopt_ adoption-payment branch. Live adoption payments require adoption ITN handling, reconciliation, and testing before activation.</w:t>
      </w:r>
    </w:p>
    <w:p>
      <w:r>
        <w:t>- runtimeEnv.ts contains a fallback Supabase URL and publishable anon key. Supabase anon keys are client-side publishable by design, but production should rely on environment variables and unnecessary hardcoded project fallback should be removed or formally accepted as a risk.</w:t>
      </w:r>
    </w:p>
    <w:p>
      <w:r>
        <w:t>- No committed live .env file was observed. .env.example correctly instructs never to commit .env. Keep this control and use Netlify/Supabase secrets for production.</w:t>
      </w:r>
    </w:p>
    <w:p>
      <w:r>
        <w:t>- netlify.toml contains an enforced Content-Security-Policy header. Test against production domains, configure monitoring, and remove Lovable/development frame ancestors if not needed in production.</w:t>
      </w:r>
    </w:p>
    <w:p>
      <w:r>
        <w:t>- Before go-live, complete the launch checklist: PayFast merchant approval, production secrets, fee configuration, reconciliation testing, E2E tests, monitoring, backups, RLS review, penetration test, and closure of Critical/High findings.</w:t>
      </w:r>
    </w:p>
    <w:sectPr>
      <w:footerReference w:type="default" r:id="rId7"/>
      <w:headerReference w:type="default" r:id="rId9"/>
      <w:headerReference w:type="first" r:id="rId10"/>
      <w:footerReference w:type="first" r:id="rId11"/>
      <w:headerReference w:type="even" r:id="rId12"/>
      <w:footerReference w:type="even" r:id="rId13"/>
      <w:pgSz w:w="11906" w:h="16838"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rPr>
      <w:t>ANIMEX Version 4.0 - Webapp-aligned draft - 11 May 2026 - Attorney/tax/security review required before launch</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1A1A1A"/>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OpenAI for ANIMEX</dc:creator>
  <cp:lastModifiedBy>Un-named</cp:lastModifiedBy>
  <cp:revision>1</cp:revision>
  <dcterms:created xsi:type="dcterms:W3CDTF">2026-05-11T19:25:30.167Z</dcterms:created>
  <dcterms:modified xsi:type="dcterms:W3CDTF">2026-05-11T19:25:30.168Z</dcterms:modified>
  <dc:title>ANIMEX Technical Security Pack v4</dc:title>
  <dc:subject>ANIMEX Version 4.0 webapp-aligned legal and control pack</dc:subject>
  <dc:description>Generated from user-provided V3 DOCX files and app ZIP. Review required before publication.</dc:description>
  <cp:keywords>ANIMEX, legal, policy, South Africa, POPIA, PayFast, Supabase, marketplace</cp:keywords>
</cp:coreProperties>
</file>

<file path=docProps/custom.xml><?xml version="1.0" encoding="utf-8"?>
<Properties xmlns="http://schemas.openxmlformats.org/officeDocument/2006/custom-properties" xmlns:vt="http://schemas.openxmlformats.org/officeDocument/2006/docPropsVTypes"/>
</file>