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jc w:val="center"/>
      </w:pPr>
      <w:r>
        <w:rPr>
          <w:rFonts w:ascii="Arial" w:cs="Arial" w:eastAsia="Arial" w:hAnsi="Arial"/>
          <w:b/>
          <w:bCs/>
          <w:color w:val="1F4E79"/>
          <w:sz w:val="72"/>
          <w:szCs w:val="72"/>
        </w:rPr>
        <w:t xml:space="preserve">ANIMEX</w:t>
      </w:r>
    </w:p>
    <w:p>
      <w:pPr>
        <w:spacing w:after="80" w:before="0"/>
        <w:jc w:val="center"/>
      </w:pPr>
      <w:r>
        <w:rPr>
          <w:rFonts w:ascii="Arial" w:cs="Arial" w:eastAsia="Arial" w:hAnsi="Arial"/>
          <w:b/>
          <w:bCs/>
          <w:color w:val="1A1A1A"/>
          <w:sz w:val="40"/>
          <w:szCs w:val="40"/>
        </w:rPr>
        <w:t xml:space="preserve">OPERATIONAL POLICIES PACK</w:t>
      </w:r>
    </w:p>
    <w:p>
      <w:pPr>
        <w:spacing w:after="60" w:before="0"/>
        <w:jc w:val="center"/>
      </w:pPr>
      <w:r>
        <w:rPr>
          <w:rFonts w:ascii="Arial" w:cs="Arial" w:eastAsia="Arial" w:hAnsi="Arial"/>
          <w:i/>
          <w:iCs/>
          <w:color w:val="595959"/>
          <w:sz w:val="22"/>
          <w:szCs w:val="22"/>
        </w:rPr>
        <w:t xml:space="preserve">AUP · IP Takedown · Transport · Permits · Post-Adoption · Chargeback · Marketing · Fees · Onboarding</w:t>
      </w:r>
    </w:p>
    <w:p>
      <w:pPr>
        <w:spacing w:after="60" w:before="0"/>
        <w:jc w:val="center"/>
      </w:pPr>
      <w:r>
        <w:rPr>
          <w:rFonts w:ascii="Arial" w:cs="Arial" w:eastAsia="Arial" w:hAnsi="Arial"/>
          <w:color w:val="595959"/>
          <w:sz w:val="20"/>
          <w:szCs w:val="20"/>
        </w:rPr>
        <w:t>animexofficial.co.za  |  Version 4.0  |  Effective Date: Pending approval/publication</w:t>
      </w:r>
    </w:p>
    <w:p>
      <w:pPr>
        <w:shd w:fill="FFF2CC" w:val="clear"/>
        <w:spacing w:after="80" w:before="80"/>
        <w:ind w:left="360" w:right="360"/>
      </w:pPr>
      <w:r>
        <w:rPr>
          <w:rFonts w:ascii="Arial" w:cs="Arial" w:eastAsia="Arial" w:hAnsi="Arial"/>
          <w:b/>
          <w:bCs/>
          <w:color w:val="7F6000"/>
          <w:sz w:val="20"/>
          <w:szCs w:val="20"/>
        </w:rPr>
        <w:t>ACTION REQUIRED: This Version 4.0 webapp-aligned draft must be approved through ANIMEX's legal, tax, security, and Control Room terms-versioning workflow before public use or contract execution.</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1.  Acceptable Use Policy (AUP)</w:t>
      </w:r>
    </w:p>
    <w:p>
      <w:pPr>
        <w:spacing w:after="80" w:before="80"/>
      </w:pPr>
      <w:r>
        <w:rPr>
          <w:rFonts w:ascii="Arial" w:cs="Arial" w:eastAsia="Arial" w:hAnsi="Arial"/>
          <w:color w:val="1A1A1A"/>
          <w:sz w:val="22"/>
          <w:szCs w:val="22"/>
        </w:rPr>
        <w:t xml:space="preserve">This Acceptable Use Policy ("AUP") governs the conduct of all Users on the ANIMEX Platform. It supplements the Terms and Conditions and all other ANIMEX policies.</w:t>
      </w:r>
    </w:p>
    <w:p>
      <w:pPr>
        <w:pStyle w:val="Heading2"/>
        <w:spacing w:after="120" w:before="280"/>
      </w:pPr>
      <w:r>
        <w:rPr>
          <w:rFonts w:ascii="Arial" w:cs="Arial" w:eastAsia="Arial" w:hAnsi="Arial"/>
          <w:b/>
          <w:bCs/>
          <w:color w:val="1A1A1A"/>
          <w:sz w:val="26"/>
          <w:szCs w:val="26"/>
        </w:rPr>
        <w:t xml:space="preserve">1.1  Purpose</w:t>
      </w:r>
    </w:p>
    <w:p>
      <w:pPr>
        <w:spacing w:after="80" w:before="80"/>
      </w:pPr>
      <w:r>
        <w:rPr>
          <w:rFonts w:ascii="Arial" w:cs="Arial" w:eastAsia="Arial" w:hAnsi="Arial"/>
          <w:color w:val="1A1A1A"/>
          <w:sz w:val="22"/>
          <w:szCs w:val="22"/>
        </w:rPr>
        <w:t xml:space="preserve">The AUP exists to protect the integrity, safety, and lawfulness of the Platform; to protect Animals, Users, and third parties; and to ensure ANIMEX operates within the bounds of South African law.</w:t>
      </w:r>
    </w:p>
    <w:p>
      <w:pPr>
        <w:pStyle w:val="Heading2"/>
        <w:spacing w:after="120" w:before="280"/>
      </w:pPr>
      <w:r>
        <w:rPr>
          <w:rFonts w:ascii="Arial" w:cs="Arial" w:eastAsia="Arial" w:hAnsi="Arial"/>
          <w:b/>
          <w:bCs/>
          <w:color w:val="1A1A1A"/>
          <w:sz w:val="26"/>
          <w:szCs w:val="26"/>
        </w:rPr>
        <w:t xml:space="preserve">1.2  Permitted Use</w:t>
      </w:r>
    </w:p>
    <w:p>
      <w:pPr>
        <w:spacing w:after="80" w:before="80"/>
      </w:pPr>
      <w:r>
        <w:rPr>
          <w:rFonts w:ascii="Arial" w:cs="Arial" w:eastAsia="Arial" w:hAnsi="Arial"/>
          <w:color w:val="1A1A1A"/>
          <w:sz w:val="22"/>
          <w:szCs w:val="22"/>
        </w:rPr>
        <w:t xml:space="preserve">The Platform may be used only for:</w:t>
      </w:r>
    </w:p>
    <w:p>
      <w:pPr>
        <w:pStyle w:val="ListParagraph"/>
        <w:numPr>
          <w:ilvl w:val="0"/>
          <w:numId w:val="2"/>
        </w:numPr>
        <w:spacing w:after="40" w:before="40"/>
      </w:pPr>
      <w:r>
        <w:rPr>
          <w:rFonts w:ascii="Arial" w:cs="Arial" w:eastAsia="Arial" w:hAnsi="Arial"/>
          <w:color w:val="1A1A1A"/>
          <w:sz w:val="22"/>
          <w:szCs w:val="22"/>
        </w:rPr>
        <w:t xml:space="preserve">discovering, listing, selling, buying, adopting, or rehoming Animals within the approved categories;</w:t>
      </w:r>
    </w:p>
    <w:p>
      <w:pPr>
        <w:pStyle w:val="ListParagraph"/>
        <w:numPr>
          <w:ilvl w:val="0"/>
          <w:numId w:val="2"/>
        </w:numPr>
        <w:spacing w:after="40" w:before="40"/>
      </w:pPr>
      <w:r>
        <w:rPr>
          <w:rFonts w:ascii="Arial" w:cs="Arial" w:eastAsia="Arial" w:hAnsi="Arial"/>
          <w:color w:val="1A1A1A"/>
          <w:sz w:val="22"/>
          <w:szCs w:val="22"/>
        </w:rPr>
        <w:t xml:space="preserve">communicating honestly with other Users about Animal transactions;</w:t>
      </w:r>
    </w:p>
    <w:p>
      <w:pPr>
        <w:pStyle w:val="ListParagraph"/>
        <w:numPr>
          <w:ilvl w:val="0"/>
          <w:numId w:val="2"/>
        </w:numPr>
        <w:spacing w:after="40" w:before="40"/>
      </w:pPr>
      <w:r>
        <w:rPr>
          <w:rFonts w:ascii="Arial" w:cs="Arial" w:eastAsia="Arial" w:hAnsi="Arial"/>
          <w:color w:val="1A1A1A"/>
          <w:sz w:val="22"/>
          <w:szCs w:val="22"/>
        </w:rPr>
        <w:t xml:space="preserve">completing transactions lawfully through Secure Checkout;</w:t>
      </w:r>
    </w:p>
    <w:p>
      <w:pPr>
        <w:pStyle w:val="ListParagraph"/>
        <w:numPr>
          <w:ilvl w:val="0"/>
          <w:numId w:val="2"/>
        </w:numPr>
        <w:spacing w:after="40" w:before="40"/>
      </w:pPr>
      <w:r>
        <w:rPr>
          <w:rFonts w:ascii="Arial" w:cs="Arial" w:eastAsia="Arial" w:hAnsi="Arial"/>
          <w:color w:val="1A1A1A"/>
          <w:sz w:val="22"/>
          <w:szCs w:val="22"/>
        </w:rPr>
        <w:t xml:space="preserve">managing verified account information and Listings;</w:t>
      </w:r>
    </w:p>
    <w:p>
      <w:pPr>
        <w:pStyle w:val="ListParagraph"/>
        <w:numPr>
          <w:ilvl w:val="0"/>
          <w:numId w:val="2"/>
        </w:numPr>
        <w:spacing w:after="40" w:before="40"/>
      </w:pPr>
      <w:r>
        <w:rPr>
          <w:rFonts w:ascii="Arial" w:cs="Arial" w:eastAsia="Arial" w:hAnsi="Arial"/>
          <w:color w:val="1A1A1A"/>
          <w:sz w:val="22"/>
          <w:szCs w:val="22"/>
        </w:rPr>
        <w:t xml:space="preserve">submitting or responding to Disputes through the designated Platform channels.</w:t>
      </w:r>
    </w:p>
    <w:p>
      <w:pPr>
        <w:pStyle w:val="Heading2"/>
        <w:spacing w:after="120" w:before="280"/>
      </w:pPr>
      <w:r>
        <w:rPr>
          <w:rFonts w:ascii="Arial" w:cs="Arial" w:eastAsia="Arial" w:hAnsi="Arial"/>
          <w:b/>
          <w:bCs/>
          <w:color w:val="1A1A1A"/>
          <w:sz w:val="26"/>
          <w:szCs w:val="26"/>
        </w:rPr>
        <w:t>1.3  Prohibited Conduct - Accounts and Identity</w:t>
      </w:r>
    </w:p>
    <w:p>
      <w:pPr>
        <w:spacing w:after="80" w:before="80"/>
      </w:pPr>
      <w:r>
        <w:rPr>
          <w:rFonts w:ascii="Arial" w:cs="Arial" w:eastAsia="Arial" w:hAnsi="Arial"/>
          <w:color w:val="1A1A1A"/>
          <w:sz w:val="22"/>
          <w:szCs w:val="22"/>
        </w:rPr>
        <w:t xml:space="preserve">Users must not:</w:t>
      </w:r>
    </w:p>
    <w:p>
      <w:pPr>
        <w:pStyle w:val="ListParagraph"/>
        <w:numPr>
          <w:ilvl w:val="0"/>
          <w:numId w:val="2"/>
        </w:numPr>
        <w:spacing w:after="40" w:before="40"/>
      </w:pPr>
      <w:r>
        <w:rPr>
          <w:rFonts w:ascii="Arial" w:cs="Arial" w:eastAsia="Arial" w:hAnsi="Arial"/>
          <w:color w:val="1A1A1A"/>
          <w:sz w:val="22"/>
          <w:szCs w:val="22"/>
        </w:rPr>
        <w:t xml:space="preserve">create accounts under false identities, company names, or welfare organisation names;</w:t>
      </w:r>
    </w:p>
    <w:p>
      <w:pPr>
        <w:pStyle w:val="ListParagraph"/>
        <w:numPr>
          <w:ilvl w:val="0"/>
          <w:numId w:val="2"/>
        </w:numPr>
        <w:spacing w:after="40" w:before="40"/>
      </w:pPr>
      <w:r>
        <w:rPr>
          <w:rFonts w:ascii="Arial" w:cs="Arial" w:eastAsia="Arial" w:hAnsi="Arial"/>
          <w:color w:val="1A1A1A"/>
          <w:sz w:val="22"/>
          <w:szCs w:val="22"/>
        </w:rPr>
        <w:t xml:space="preserve">create multiple accounts to circumvent bans, restrictions, fee obligations, or review limits;</w:t>
      </w:r>
    </w:p>
    <w:p>
      <w:pPr>
        <w:pStyle w:val="ListParagraph"/>
        <w:numPr>
          <w:ilvl w:val="0"/>
          <w:numId w:val="2"/>
        </w:numPr>
        <w:spacing w:after="40" w:before="40"/>
      </w:pPr>
      <w:r>
        <w:rPr>
          <w:rFonts w:ascii="Arial" w:cs="Arial" w:eastAsia="Arial" w:hAnsi="Arial"/>
          <w:color w:val="1A1A1A"/>
          <w:sz w:val="22"/>
          <w:szCs w:val="22"/>
        </w:rPr>
        <w:t xml:space="preserve">impersonate another User, ANIMEX employee, SPCA official, veterinarian, welfare inspector, law enforcement officer, or regulatory authority;</w:t>
      </w:r>
    </w:p>
    <w:p>
      <w:pPr>
        <w:pStyle w:val="ListParagraph"/>
        <w:numPr>
          <w:ilvl w:val="0"/>
          <w:numId w:val="2"/>
        </w:numPr>
        <w:spacing w:after="40" w:before="40"/>
      </w:pPr>
      <w:r>
        <w:rPr>
          <w:rFonts w:ascii="Arial" w:cs="Arial" w:eastAsia="Arial" w:hAnsi="Arial"/>
          <w:color w:val="1A1A1A"/>
          <w:sz w:val="22"/>
          <w:szCs w:val="22"/>
        </w:rPr>
        <w:t xml:space="preserve">share account access with third parties except duly authorised agents with ANIMEX's prior knowledge;</w:t>
      </w:r>
    </w:p>
    <w:p>
      <w:pPr>
        <w:pStyle w:val="ListParagraph"/>
        <w:numPr>
          <w:ilvl w:val="0"/>
          <w:numId w:val="2"/>
        </w:numPr>
        <w:spacing w:after="40" w:before="40"/>
      </w:pPr>
      <w:r>
        <w:rPr>
          <w:rFonts w:ascii="Arial" w:cs="Arial" w:eastAsia="Arial" w:hAnsi="Arial"/>
          <w:color w:val="1A1A1A"/>
          <w:sz w:val="22"/>
          <w:szCs w:val="22"/>
        </w:rPr>
        <w:t xml:space="preserve">submit false, forged, altered, or fraudulently obtained verification documents.</w:t>
      </w:r>
    </w:p>
    <w:p>
      <w:pPr>
        <w:pStyle w:val="Heading2"/>
        <w:spacing w:after="120" w:before="280"/>
      </w:pPr>
      <w:r>
        <w:rPr>
          <w:rFonts w:ascii="Arial" w:cs="Arial" w:eastAsia="Arial" w:hAnsi="Arial"/>
          <w:b/>
          <w:bCs/>
          <w:color w:val="1A1A1A"/>
          <w:sz w:val="26"/>
          <w:szCs w:val="26"/>
        </w:rPr>
        <w:t>1.4  Prohibited Conduct - Listings and Transactions</w:t>
      </w:r>
    </w:p>
    <w:p>
      <w:pPr>
        <w:spacing w:after="80" w:before="80"/>
      </w:pPr>
      <w:r>
        <w:rPr>
          <w:rFonts w:ascii="Arial" w:cs="Arial" w:eastAsia="Arial" w:hAnsi="Arial"/>
          <w:color w:val="1A1A1A"/>
          <w:sz w:val="22"/>
          <w:szCs w:val="22"/>
        </w:rPr>
        <w:t xml:space="preserve">Users must not:</w:t>
      </w:r>
    </w:p>
    <w:p>
      <w:pPr>
        <w:pStyle w:val="ListParagraph"/>
        <w:numPr>
          <w:ilvl w:val="0"/>
          <w:numId w:val="2"/>
        </w:numPr>
        <w:spacing w:after="40" w:before="40"/>
      </w:pPr>
      <w:r>
        <w:rPr>
          <w:rFonts w:ascii="Arial" w:cs="Arial" w:eastAsia="Arial" w:hAnsi="Arial"/>
          <w:color w:val="1A1A1A"/>
          <w:sz w:val="22"/>
          <w:szCs w:val="22"/>
        </w:rPr>
        <w:t xml:space="preserve">list Animals they do not legally own or have authority to transfer;</w:t>
      </w:r>
    </w:p>
    <w:p>
      <w:pPr>
        <w:pStyle w:val="ListParagraph"/>
        <w:numPr>
          <w:ilvl w:val="0"/>
          <w:numId w:val="2"/>
        </w:numPr>
        <w:spacing w:after="40" w:before="40"/>
      </w:pPr>
      <w:r>
        <w:rPr>
          <w:rFonts w:ascii="Arial" w:cs="Arial" w:eastAsia="Arial" w:hAnsi="Arial"/>
          <w:color w:val="1A1A1A"/>
          <w:sz w:val="22"/>
          <w:szCs w:val="22"/>
        </w:rPr>
        <w:t xml:space="preserve">create duplicate, bait, misleading, or fraudulent Listings;</w:t>
      </w:r>
    </w:p>
    <w:p>
      <w:pPr>
        <w:pStyle w:val="ListParagraph"/>
        <w:numPr>
          <w:ilvl w:val="0"/>
          <w:numId w:val="2"/>
        </w:numPr>
        <w:spacing w:after="40" w:before="40"/>
      </w:pPr>
      <w:r>
        <w:rPr>
          <w:rFonts w:ascii="Arial" w:cs="Arial" w:eastAsia="Arial" w:hAnsi="Arial"/>
          <w:color w:val="1A1A1A"/>
          <w:sz w:val="22"/>
          <w:szCs w:val="22"/>
        </w:rPr>
        <w:t xml:space="preserve">misrepresent Animal health, age, breed, pedigree, behavioural status, or document status;</w:t>
      </w:r>
    </w:p>
    <w:p>
      <w:pPr>
        <w:pStyle w:val="ListParagraph"/>
        <w:numPr>
          <w:ilvl w:val="0"/>
          <w:numId w:val="2"/>
        </w:numPr>
        <w:spacing w:after="40" w:before="40"/>
      </w:pPr>
      <w:r>
        <w:rPr>
          <w:rFonts w:ascii="Arial" w:cs="Arial" w:eastAsia="Arial" w:hAnsi="Arial"/>
          <w:color w:val="1A1A1A"/>
          <w:sz w:val="22"/>
          <w:szCs w:val="22"/>
        </w:rPr>
        <w:t xml:space="preserve">list Prohibited Animals without all required valid permits uploaded and verified;</w:t>
      </w:r>
    </w:p>
    <w:p>
      <w:pPr>
        <w:pStyle w:val="ListParagraph"/>
        <w:numPr>
          <w:ilvl w:val="0"/>
          <w:numId w:val="2"/>
        </w:numPr>
        <w:spacing w:after="40" w:before="40"/>
      </w:pPr>
      <w:r>
        <w:rPr>
          <w:rFonts w:ascii="Arial" w:cs="Arial" w:eastAsia="Arial" w:hAnsi="Arial"/>
          <w:color w:val="1A1A1A"/>
          <w:sz w:val="22"/>
          <w:szCs w:val="22"/>
        </w:rPr>
        <w:t xml:space="preserve">use the Platform to discover Animals or Buyers and then complete transactions off-platform to avoid fees, welfare checks, or Secure Checkout;</w:t>
      </w:r>
    </w:p>
    <w:p>
      <w:pPr>
        <w:pStyle w:val="ListParagraph"/>
        <w:numPr>
          <w:ilvl w:val="0"/>
          <w:numId w:val="2"/>
        </w:numPr>
        <w:spacing w:after="40" w:before="40"/>
      </w:pPr>
      <w:r>
        <w:rPr>
          <w:rFonts w:ascii="Arial" w:cs="Arial" w:eastAsia="Arial" w:hAnsi="Arial"/>
          <w:color w:val="1A1A1A"/>
          <w:sz w:val="22"/>
          <w:szCs w:val="22"/>
        </w:rPr>
        <w:t xml:space="preserve">manipulate pricing, bid behaviour, or Listing prominence through artificial means;</w:t>
      </w:r>
    </w:p>
    <w:p>
      <w:pPr>
        <w:pStyle w:val="ListParagraph"/>
        <w:numPr>
          <w:ilvl w:val="0"/>
          <w:numId w:val="2"/>
        </w:numPr>
        <w:spacing w:after="40" w:before="40"/>
      </w:pPr>
      <w:r>
        <w:rPr>
          <w:rFonts w:ascii="Arial" w:cs="Arial" w:eastAsia="Arial" w:hAnsi="Arial"/>
          <w:color w:val="1A1A1A"/>
          <w:sz w:val="22"/>
          <w:szCs w:val="22"/>
        </w:rPr>
        <w:t xml:space="preserve">apply pressure tactics, false urgency claims, or deceptive negotiation techniques.</w:t>
      </w:r>
    </w:p>
    <w:p>
      <w:pPr>
        <w:pStyle w:val="Heading2"/>
        <w:spacing w:after="120" w:before="280"/>
      </w:pPr>
      <w:r>
        <w:rPr>
          <w:rFonts w:ascii="Arial" w:cs="Arial" w:eastAsia="Arial" w:hAnsi="Arial"/>
          <w:b/>
          <w:bCs/>
          <w:color w:val="1A1A1A"/>
          <w:sz w:val="26"/>
          <w:szCs w:val="26"/>
        </w:rPr>
        <w:t>1.5  Prohibited Conduct - Payments</w:t>
      </w:r>
    </w:p>
    <w:p>
      <w:pPr>
        <w:spacing w:after="80" w:before="80"/>
      </w:pPr>
      <w:r>
        <w:rPr>
          <w:rFonts w:ascii="Arial" w:cs="Arial" w:eastAsia="Arial" w:hAnsi="Arial"/>
          <w:color w:val="1A1A1A"/>
          <w:sz w:val="22"/>
          <w:szCs w:val="22"/>
        </w:rPr>
        <w:t xml:space="preserve">Users must not:</w:t>
      </w:r>
    </w:p>
    <w:p>
      <w:pPr>
        <w:pStyle w:val="ListParagraph"/>
        <w:numPr>
          <w:ilvl w:val="0"/>
          <w:numId w:val="2"/>
        </w:numPr>
        <w:spacing w:after="40" w:before="40"/>
      </w:pPr>
      <w:r>
        <w:rPr>
          <w:rFonts w:ascii="Arial" w:cs="Arial" w:eastAsia="Arial" w:hAnsi="Arial"/>
          <w:color w:val="1A1A1A"/>
          <w:sz w:val="22"/>
          <w:szCs w:val="22"/>
        </w:rPr>
        <w:t xml:space="preserve">initiate fraudulent chargebacks, bank reversals, or payment disputes knowing the transaction was genuine;</w:t>
      </w:r>
    </w:p>
    <w:p>
      <w:pPr>
        <w:pStyle w:val="ListParagraph"/>
        <w:numPr>
          <w:ilvl w:val="0"/>
          <w:numId w:val="2"/>
        </w:numPr>
        <w:spacing w:after="40" w:before="40"/>
      </w:pPr>
      <w:r>
        <w:rPr>
          <w:rFonts w:ascii="Arial" w:cs="Arial" w:eastAsia="Arial" w:hAnsi="Arial"/>
          <w:color w:val="1A1A1A"/>
          <w:sz w:val="22"/>
          <w:szCs w:val="22"/>
        </w:rPr>
        <w:t xml:space="preserve">use the Platform to launder money or structure transactions to avoid regulatory reporting;</w:t>
      </w:r>
    </w:p>
    <w:p>
      <w:pPr>
        <w:pStyle w:val="ListParagraph"/>
        <w:numPr>
          <w:ilvl w:val="0"/>
          <w:numId w:val="2"/>
        </w:numPr>
        <w:spacing w:after="40" w:before="40"/>
      </w:pPr>
      <w:r>
        <w:rPr>
          <w:rFonts w:ascii="Arial" w:cs="Arial" w:eastAsia="Arial" w:hAnsi="Arial"/>
          <w:color w:val="1A1A1A"/>
          <w:sz w:val="22"/>
          <w:szCs w:val="22"/>
        </w:rPr>
        <w:t xml:space="preserve">provide false banking details or attempt to redirect payouts to unverified accounts;</w:t>
      </w:r>
    </w:p>
    <w:p>
      <w:pPr>
        <w:pStyle w:val="ListParagraph"/>
        <w:numPr>
          <w:ilvl w:val="0"/>
          <w:numId w:val="2"/>
        </w:numPr>
        <w:spacing w:after="40" w:before="40"/>
      </w:pPr>
      <w:r>
        <w:rPr>
          <w:rFonts w:ascii="Arial" w:cs="Arial" w:eastAsia="Arial" w:hAnsi="Arial"/>
          <w:color w:val="1A1A1A"/>
          <w:sz w:val="22"/>
          <w:szCs w:val="22"/>
        </w:rPr>
        <w:t xml:space="preserve">solicit payment via unauthorised means (cash, crypto, external wallets) once a transaction is initiated on the Platform.</w:t>
      </w:r>
    </w:p>
    <w:p>
      <w:pPr>
        <w:pStyle w:val="Heading2"/>
        <w:spacing w:after="120" w:before="280"/>
      </w:pPr>
      <w:r>
        <w:rPr>
          <w:rFonts w:ascii="Arial" w:cs="Arial" w:eastAsia="Arial" w:hAnsi="Arial"/>
          <w:b/>
          <w:bCs/>
          <w:color w:val="1A1A1A"/>
          <w:sz w:val="26"/>
          <w:szCs w:val="26"/>
        </w:rPr>
        <w:t>1.6  Prohibited Conduct - Communications</w:t>
      </w:r>
    </w:p>
    <w:p>
      <w:pPr>
        <w:spacing w:after="80" w:before="80"/>
      </w:pPr>
      <w:r>
        <w:rPr>
          <w:rFonts w:ascii="Arial" w:cs="Arial" w:eastAsia="Arial" w:hAnsi="Arial"/>
          <w:color w:val="1A1A1A"/>
          <w:sz w:val="22"/>
          <w:szCs w:val="22"/>
        </w:rPr>
        <w:t xml:space="preserve">Users must not:</w:t>
      </w:r>
    </w:p>
    <w:p>
      <w:pPr>
        <w:pStyle w:val="ListParagraph"/>
        <w:numPr>
          <w:ilvl w:val="0"/>
          <w:numId w:val="2"/>
        </w:numPr>
        <w:spacing w:after="40" w:before="40"/>
      </w:pPr>
      <w:r>
        <w:rPr>
          <w:rFonts w:ascii="Arial" w:cs="Arial" w:eastAsia="Arial" w:hAnsi="Arial"/>
          <w:color w:val="1A1A1A"/>
          <w:sz w:val="22"/>
          <w:szCs w:val="22"/>
        </w:rPr>
        <w:t xml:space="preserve">threaten, intimidate, harass, or abuse other Users or ANIMEX staff;</w:t>
      </w:r>
    </w:p>
    <w:p>
      <w:pPr>
        <w:pStyle w:val="ListParagraph"/>
        <w:numPr>
          <w:ilvl w:val="0"/>
          <w:numId w:val="2"/>
        </w:numPr>
        <w:spacing w:after="40" w:before="40"/>
      </w:pPr>
      <w:r>
        <w:rPr>
          <w:rFonts w:ascii="Arial" w:cs="Arial" w:eastAsia="Arial" w:hAnsi="Arial"/>
          <w:color w:val="1A1A1A"/>
          <w:sz w:val="22"/>
          <w:szCs w:val="22"/>
        </w:rPr>
        <w:t xml:space="preserve">send spam, bulk unsolicited messages, phishing communications, or fraudulent offers through Platform messaging;</w:t>
      </w:r>
    </w:p>
    <w:p>
      <w:pPr>
        <w:pStyle w:val="ListParagraph"/>
        <w:numPr>
          <w:ilvl w:val="0"/>
          <w:numId w:val="2"/>
        </w:numPr>
        <w:spacing w:after="40" w:before="40"/>
      </w:pPr>
      <w:r>
        <w:rPr>
          <w:rFonts w:ascii="Arial" w:cs="Arial" w:eastAsia="Arial" w:hAnsi="Arial"/>
          <w:color w:val="1A1A1A"/>
          <w:sz w:val="22"/>
          <w:szCs w:val="22"/>
        </w:rPr>
        <w:t xml:space="preserve">share other Users' personal information, contact details, or private data without their consent (doxxing);</w:t>
      </w:r>
    </w:p>
    <w:p>
      <w:pPr>
        <w:pStyle w:val="ListParagraph"/>
        <w:numPr>
          <w:ilvl w:val="0"/>
          <w:numId w:val="2"/>
        </w:numPr>
        <w:spacing w:after="40" w:before="40"/>
      </w:pPr>
      <w:r>
        <w:rPr>
          <w:rFonts w:ascii="Arial" w:cs="Arial" w:eastAsia="Arial" w:hAnsi="Arial"/>
          <w:color w:val="1A1A1A"/>
          <w:sz w:val="22"/>
          <w:szCs w:val="22"/>
        </w:rPr>
        <w:t xml:space="preserve">use hate speech, discriminatory language, or derogatory content;</w:t>
      </w:r>
    </w:p>
    <w:p>
      <w:pPr>
        <w:pStyle w:val="ListParagraph"/>
        <w:numPr>
          <w:ilvl w:val="0"/>
          <w:numId w:val="2"/>
        </w:numPr>
        <w:spacing w:after="40" w:before="40"/>
      </w:pPr>
      <w:r>
        <w:rPr>
          <w:rFonts w:ascii="Arial" w:cs="Arial" w:eastAsia="Arial" w:hAnsi="Arial"/>
          <w:color w:val="1A1A1A"/>
          <w:sz w:val="22"/>
          <w:szCs w:val="22"/>
        </w:rPr>
        <w:t xml:space="preserve">make false accusations, defamatory statements, or manipulated reviews.</w:t>
      </w:r>
    </w:p>
    <w:p>
      <w:pPr>
        <w:pStyle w:val="Heading2"/>
        <w:spacing w:after="120" w:before="280"/>
      </w:pPr>
      <w:r>
        <w:rPr>
          <w:rFonts w:ascii="Arial" w:cs="Arial" w:eastAsia="Arial" w:hAnsi="Arial"/>
          <w:b/>
          <w:bCs/>
          <w:color w:val="1A1A1A"/>
          <w:sz w:val="26"/>
          <w:szCs w:val="26"/>
        </w:rPr>
        <w:t>1.7  Prohibited Conduct - Technology and Security</w:t>
      </w:r>
    </w:p>
    <w:p>
      <w:pPr>
        <w:spacing w:after="80" w:before="80"/>
      </w:pPr>
      <w:r>
        <w:rPr>
          <w:rFonts w:ascii="Arial" w:cs="Arial" w:eastAsia="Arial" w:hAnsi="Arial"/>
          <w:color w:val="1A1A1A"/>
          <w:sz w:val="22"/>
          <w:szCs w:val="22"/>
        </w:rPr>
        <w:t xml:space="preserve">Users must not, in breach of the Cybercrimes Act 19 of 2020 or otherwise:</w:t>
      </w:r>
    </w:p>
    <w:p>
      <w:pPr>
        <w:pStyle w:val="ListParagraph"/>
        <w:numPr>
          <w:ilvl w:val="0"/>
          <w:numId w:val="2"/>
        </w:numPr>
        <w:spacing w:after="40" w:before="40"/>
      </w:pPr>
      <w:r>
        <w:rPr>
          <w:rFonts w:ascii="Arial" w:cs="Arial" w:eastAsia="Arial" w:hAnsi="Arial"/>
          <w:color w:val="1A1A1A"/>
          <w:sz w:val="22"/>
          <w:szCs w:val="22"/>
        </w:rPr>
        <w:t xml:space="preserve">access, probe, test, or attempt to compromise any ANIMEX system, API, database, admin console, or infrastructure without written authorisation;</w:t>
      </w:r>
    </w:p>
    <w:p>
      <w:pPr>
        <w:pStyle w:val="ListParagraph"/>
        <w:numPr>
          <w:ilvl w:val="0"/>
          <w:numId w:val="2"/>
        </w:numPr>
        <w:spacing w:after="40" w:before="40"/>
      </w:pPr>
      <w:r>
        <w:rPr>
          <w:rFonts w:ascii="Arial" w:cs="Arial" w:eastAsia="Arial" w:hAnsi="Arial"/>
          <w:color w:val="1A1A1A"/>
          <w:sz w:val="22"/>
          <w:szCs w:val="22"/>
        </w:rPr>
        <w:t xml:space="preserve">attempt to bypass authentication, authorisation, or access controls;</w:t>
      </w:r>
    </w:p>
    <w:p>
      <w:pPr>
        <w:pStyle w:val="ListParagraph"/>
        <w:numPr>
          <w:ilvl w:val="0"/>
          <w:numId w:val="2"/>
        </w:numPr>
        <w:spacing w:after="40" w:before="40"/>
      </w:pPr>
      <w:r>
        <w:rPr>
          <w:rFonts w:ascii="Arial" w:cs="Arial" w:eastAsia="Arial" w:hAnsi="Arial"/>
          <w:color w:val="1A1A1A"/>
          <w:sz w:val="22"/>
          <w:szCs w:val="22"/>
        </w:rPr>
        <w:t xml:space="preserve">intercept, monitor, copy, or exfiltrate data transmitted through or stored on the Platform;</w:t>
      </w:r>
    </w:p>
    <w:p>
      <w:pPr>
        <w:pStyle w:val="ListParagraph"/>
        <w:numPr>
          <w:ilvl w:val="0"/>
          <w:numId w:val="2"/>
        </w:numPr>
        <w:spacing w:after="40" w:before="40"/>
      </w:pPr>
      <w:r>
        <w:rPr>
          <w:rFonts w:ascii="Arial" w:cs="Arial" w:eastAsia="Arial" w:hAnsi="Arial"/>
          <w:color w:val="1A1A1A"/>
          <w:sz w:val="22"/>
          <w:szCs w:val="22"/>
        </w:rPr>
        <w:t xml:space="preserve">introduce malware, ransomware, spyware, viruses, trojans, worms, or any harmful code;</w:t>
      </w:r>
    </w:p>
    <w:p>
      <w:pPr>
        <w:pStyle w:val="ListParagraph"/>
        <w:numPr>
          <w:ilvl w:val="0"/>
          <w:numId w:val="2"/>
        </w:numPr>
        <w:spacing w:after="40" w:before="40"/>
      </w:pPr>
      <w:r>
        <w:rPr>
          <w:rFonts w:ascii="Arial" w:cs="Arial" w:eastAsia="Arial" w:hAnsi="Arial"/>
          <w:color w:val="1A1A1A"/>
          <w:sz w:val="22"/>
          <w:szCs w:val="22"/>
        </w:rPr>
        <w:t xml:space="preserve">conduct denial-of-service, brute-force, credential-stuffing, or injection attacks;</w:t>
      </w:r>
    </w:p>
    <w:p>
      <w:pPr>
        <w:pStyle w:val="ListParagraph"/>
        <w:numPr>
          <w:ilvl w:val="0"/>
          <w:numId w:val="2"/>
        </w:numPr>
        <w:spacing w:after="40" w:before="40"/>
      </w:pPr>
      <w:r>
        <w:rPr>
          <w:rFonts w:ascii="Arial" w:cs="Arial" w:eastAsia="Arial" w:hAnsi="Arial"/>
          <w:color w:val="1A1A1A"/>
          <w:sz w:val="22"/>
          <w:szCs w:val="22"/>
        </w:rPr>
        <w:t xml:space="preserve">scrape, crawl, or harvest Content, User data, Listing data, or pricing data by automated means without ANIMEX's prior written consent;</w:t>
      </w:r>
    </w:p>
    <w:p>
      <w:pPr>
        <w:pStyle w:val="ListParagraph"/>
        <w:numPr>
          <w:ilvl w:val="0"/>
          <w:numId w:val="2"/>
        </w:numPr>
        <w:spacing w:after="40" w:before="40"/>
      </w:pPr>
      <w:r>
        <w:rPr>
          <w:rFonts w:ascii="Arial" w:cs="Arial" w:eastAsia="Arial" w:hAnsi="Arial"/>
          <w:color w:val="1A1A1A"/>
          <w:sz w:val="22"/>
          <w:szCs w:val="22"/>
        </w:rPr>
        <w:t xml:space="preserve">reverse-engineer, decompile, or disassemble ANIMEX's software, APIs, or systems;</w:t>
      </w:r>
    </w:p>
    <w:p>
      <w:pPr>
        <w:pStyle w:val="ListParagraph"/>
        <w:numPr>
          <w:ilvl w:val="0"/>
          <w:numId w:val="2"/>
        </w:numPr>
        <w:spacing w:after="40" w:before="40"/>
      </w:pPr>
      <w:r>
        <w:rPr>
          <w:rFonts w:ascii="Arial" w:cs="Arial" w:eastAsia="Arial" w:hAnsi="Arial"/>
          <w:color w:val="1A1A1A"/>
          <w:sz w:val="22"/>
          <w:szCs w:val="22"/>
        </w:rPr>
        <w:t xml:space="preserve">frame, mirror, or reproduce the Platform in a manner that is misleading or enables competitive harm.</w:t>
      </w:r>
    </w:p>
    <w:p>
      <w:pPr>
        <w:spacing w:after="80" w:before="80"/>
      </w:pPr>
      <w:r>
        <w:rPr>
          <w:rFonts w:ascii="Arial" w:cs="Arial" w:eastAsia="Arial" w:hAnsi="Arial"/>
          <w:color w:val="1A1A1A"/>
          <w:sz w:val="22"/>
          <w:szCs w:val="22"/>
        </w:rPr>
        <w:t>Suspected security vulnerabilities may be reported to info@animexofficial.co.za under ANIMEX's responsible disclosure process. ANIMEX will acknowledge reports and, where warranted, work cooperatively with the reporter.</w:t>
      </w:r>
    </w:p>
    <w:p>
      <w:pPr>
        <w:pStyle w:val="Heading2"/>
        <w:spacing w:after="120" w:before="280"/>
      </w:pPr>
      <w:r>
        <w:rPr>
          <w:rFonts w:ascii="Arial" w:cs="Arial" w:eastAsia="Arial" w:hAnsi="Arial"/>
          <w:b/>
          <w:bCs/>
          <w:color w:val="1A1A1A"/>
          <w:sz w:val="26"/>
          <w:szCs w:val="26"/>
        </w:rPr>
        <w:t>1.8  Prohibited Conduct - Animal Welfare</w:t>
      </w:r>
    </w:p>
    <w:p>
      <w:pPr>
        <w:spacing w:after="80" w:before="80"/>
      </w:pPr>
      <w:r>
        <w:rPr>
          <w:rFonts w:ascii="Arial" w:cs="Arial" w:eastAsia="Arial" w:hAnsi="Arial"/>
          <w:color w:val="1A1A1A"/>
          <w:sz w:val="22"/>
          <w:szCs w:val="22"/>
        </w:rPr>
        <w:t xml:space="preserve">Users must not use the Platform in connection with:</w:t>
      </w:r>
    </w:p>
    <w:p>
      <w:pPr>
        <w:pStyle w:val="ListParagraph"/>
        <w:numPr>
          <w:ilvl w:val="0"/>
          <w:numId w:val="2"/>
        </w:numPr>
        <w:spacing w:after="40" w:before="40"/>
      </w:pPr>
      <w:r>
        <w:rPr>
          <w:rFonts w:ascii="Arial" w:cs="Arial" w:eastAsia="Arial" w:hAnsi="Arial"/>
          <w:color w:val="1A1A1A"/>
          <w:sz w:val="22"/>
          <w:szCs w:val="22"/>
        </w:rPr>
        <w:t xml:space="preserve">animal fighting, baiting, illegal racing, experimentation, ritual harm, or cruelty;</w:t>
      </w:r>
    </w:p>
    <w:p>
      <w:pPr>
        <w:pStyle w:val="ListParagraph"/>
        <w:numPr>
          <w:ilvl w:val="0"/>
          <w:numId w:val="2"/>
        </w:numPr>
        <w:spacing w:after="40" w:before="40"/>
      </w:pPr>
      <w:r>
        <w:rPr>
          <w:rFonts w:ascii="Arial" w:cs="Arial" w:eastAsia="Arial" w:hAnsi="Arial"/>
          <w:color w:val="1A1A1A"/>
          <w:sz w:val="22"/>
          <w:szCs w:val="22"/>
        </w:rPr>
        <w:t xml:space="preserve">puppy mills, kitten mills, or mass unregulated breeding;</w:t>
      </w:r>
    </w:p>
    <w:p>
      <w:pPr>
        <w:pStyle w:val="ListParagraph"/>
        <w:numPr>
          <w:ilvl w:val="0"/>
          <w:numId w:val="2"/>
        </w:numPr>
        <w:spacing w:after="40" w:before="40"/>
      </w:pPr>
      <w:r>
        <w:rPr>
          <w:rFonts w:ascii="Arial" w:cs="Arial" w:eastAsia="Arial" w:hAnsi="Arial"/>
          <w:color w:val="1A1A1A"/>
          <w:sz w:val="22"/>
          <w:szCs w:val="22"/>
        </w:rPr>
        <w:t xml:space="preserve">unlawful exotic animal trade, endangered species trade, or CITES-prohibited transactions;</w:t>
      </w:r>
    </w:p>
    <w:p>
      <w:pPr>
        <w:pStyle w:val="ListParagraph"/>
        <w:numPr>
          <w:ilvl w:val="0"/>
          <w:numId w:val="2"/>
        </w:numPr>
        <w:spacing w:after="40" w:before="40"/>
      </w:pPr>
      <w:r>
        <w:rPr>
          <w:rFonts w:ascii="Arial" w:cs="Arial" w:eastAsia="Arial" w:hAnsi="Arial"/>
          <w:color w:val="1A1A1A"/>
          <w:sz w:val="22"/>
          <w:szCs w:val="22"/>
        </w:rPr>
        <w:t xml:space="preserve">animals being transported in conditions that violate the Animals Protection Act or applicable welfare norms;</w:t>
      </w:r>
    </w:p>
    <w:p>
      <w:pPr>
        <w:pStyle w:val="ListParagraph"/>
        <w:numPr>
          <w:ilvl w:val="0"/>
          <w:numId w:val="2"/>
        </w:numPr>
        <w:spacing w:after="40" w:before="40"/>
      </w:pPr>
      <w:r>
        <w:rPr>
          <w:rFonts w:ascii="Arial" w:cs="Arial" w:eastAsia="Arial" w:hAnsi="Arial"/>
          <w:color w:val="1A1A1A"/>
          <w:sz w:val="22"/>
          <w:szCs w:val="22"/>
        </w:rPr>
        <w:t xml:space="preserve">any scheme to use Animals for fraudulent purposes.</w:t>
      </w:r>
    </w:p>
    <w:p>
      <w:pPr>
        <w:pStyle w:val="Heading2"/>
        <w:spacing w:after="120" w:before="280"/>
      </w:pPr>
      <w:r>
        <w:rPr>
          <w:rFonts w:ascii="Arial" w:cs="Arial" w:eastAsia="Arial" w:hAnsi="Arial"/>
          <w:b/>
          <w:bCs/>
          <w:color w:val="1A1A1A"/>
          <w:sz w:val="26"/>
          <w:szCs w:val="26"/>
        </w:rPr>
        <w:t xml:space="preserve">1.9  Enforcement</w:t>
      </w:r>
    </w:p>
    <w:p>
      <w:pPr>
        <w:spacing w:after="80" w:before="80"/>
      </w:pPr>
      <w:r>
        <w:rPr>
          <w:rFonts w:ascii="Arial" w:cs="Arial" w:eastAsia="Arial" w:hAnsi="Arial"/>
          <w:color w:val="1A1A1A"/>
          <w:sz w:val="22"/>
          <w:szCs w:val="22"/>
        </w:rPr>
        <w:t xml:space="preserve">Breaches of this AUP may result in any of the following, at ANIMEX's discretion:</w:t>
      </w:r>
    </w:p>
    <w:p>
      <w:pPr>
        <w:pStyle w:val="ListParagraph"/>
        <w:numPr>
          <w:ilvl w:val="0"/>
          <w:numId w:val="2"/>
        </w:numPr>
        <w:spacing w:after="40" w:before="40"/>
      </w:pPr>
      <w:r>
        <w:rPr>
          <w:rFonts w:ascii="Arial" w:cs="Arial" w:eastAsia="Arial" w:hAnsi="Arial"/>
          <w:color w:val="1A1A1A"/>
          <w:sz w:val="22"/>
          <w:szCs w:val="22"/>
        </w:rPr>
        <w:t xml:space="preserve">content removal or Listing suspension;</w:t>
      </w:r>
    </w:p>
    <w:p>
      <w:pPr>
        <w:pStyle w:val="ListParagraph"/>
        <w:numPr>
          <w:ilvl w:val="0"/>
          <w:numId w:val="2"/>
        </w:numPr>
        <w:spacing w:after="40" w:before="40"/>
      </w:pPr>
      <w:r>
        <w:rPr>
          <w:rFonts w:ascii="Arial" w:cs="Arial" w:eastAsia="Arial" w:hAnsi="Arial"/>
          <w:color w:val="1A1A1A"/>
          <w:sz w:val="22"/>
          <w:szCs w:val="22"/>
        </w:rPr>
        <w:t xml:space="preserve">messaging or feature restrictions;</w:t>
      </w:r>
    </w:p>
    <w:p>
      <w:pPr>
        <w:pStyle w:val="ListParagraph"/>
        <w:numPr>
          <w:ilvl w:val="0"/>
          <w:numId w:val="2"/>
        </w:numPr>
        <w:spacing w:after="40" w:before="40"/>
      </w:pPr>
      <w:r>
        <w:rPr>
          <w:rFonts w:ascii="Arial" w:cs="Arial" w:eastAsia="Arial" w:hAnsi="Arial"/>
          <w:color w:val="1A1A1A"/>
          <w:sz w:val="22"/>
          <w:szCs w:val="22"/>
        </w:rPr>
        <w:t xml:space="preserve">account downgrade, suspension, or permanent ban;</w:t>
      </w:r>
    </w:p>
    <w:p>
      <w:pPr>
        <w:pStyle w:val="ListParagraph"/>
        <w:numPr>
          <w:ilvl w:val="0"/>
          <w:numId w:val="2"/>
        </w:numPr>
        <w:spacing w:after="40" w:before="40"/>
      </w:pPr>
      <w:r>
        <w:rPr>
          <w:rFonts w:ascii="Arial" w:cs="Arial" w:eastAsia="Arial" w:hAnsi="Arial"/>
          <w:color w:val="1A1A1A"/>
          <w:sz w:val="22"/>
          <w:szCs w:val="22"/>
        </w:rPr>
        <w:t xml:space="preserve">payout hold or reversal;</w:t>
      </w:r>
    </w:p>
    <w:p>
      <w:pPr>
        <w:pStyle w:val="ListParagraph"/>
        <w:numPr>
          <w:ilvl w:val="0"/>
          <w:numId w:val="2"/>
        </w:numPr>
        <w:spacing w:after="40" w:before="40"/>
      </w:pPr>
      <w:r>
        <w:rPr>
          <w:rFonts w:ascii="Arial" w:cs="Arial" w:eastAsia="Arial" w:hAnsi="Arial"/>
          <w:color w:val="1A1A1A"/>
          <w:sz w:val="22"/>
          <w:szCs w:val="22"/>
        </w:rPr>
        <w:t xml:space="preserve">chargeback recovery;</w:t>
      </w:r>
    </w:p>
    <w:p>
      <w:pPr>
        <w:pStyle w:val="ListParagraph"/>
        <w:numPr>
          <w:ilvl w:val="0"/>
          <w:numId w:val="2"/>
        </w:numPr>
        <w:spacing w:after="40" w:before="40"/>
      </w:pPr>
      <w:r>
        <w:rPr>
          <w:rFonts w:ascii="Arial" w:cs="Arial" w:eastAsia="Arial" w:hAnsi="Arial"/>
          <w:color w:val="1A1A1A"/>
          <w:sz w:val="22"/>
          <w:szCs w:val="22"/>
        </w:rPr>
        <w:t xml:space="preserve">referral to the SPCA, welfare authorities, SAPS, DPCI, the Information Regulator, or other competent authorities;</w:t>
      </w:r>
    </w:p>
    <w:p>
      <w:pPr>
        <w:pStyle w:val="ListParagraph"/>
        <w:numPr>
          <w:ilvl w:val="0"/>
          <w:numId w:val="2"/>
        </w:numPr>
        <w:spacing w:after="40" w:before="40"/>
      </w:pPr>
      <w:r>
        <w:rPr>
          <w:rFonts w:ascii="Arial" w:cs="Arial" w:eastAsia="Arial" w:hAnsi="Arial"/>
          <w:color w:val="1A1A1A"/>
          <w:sz w:val="22"/>
          <w:szCs w:val="22"/>
        </w:rPr>
        <w:t xml:space="preserve">civil legal action and recovery of legal costs.</w:t>
      </w:r>
    </w:p>
    <w:p>
      <w:pPr>
        <w:spacing w:after="80" w:before="80"/>
      </w:pPr>
      <w:r>
        <w:rPr>
          <w:rFonts w:ascii="Arial" w:cs="Arial" w:eastAsia="Arial" w:hAnsi="Arial"/>
          <w:color w:val="1A1A1A"/>
          <w:sz w:val="22"/>
          <w:szCs w:val="22"/>
        </w:rPr>
        <w:t>Users who become aware of AUP violations may report them to info@animexofficial.co.za. Reports may be made anonymously where the Platform so allows.</w:t>
      </w:r>
    </w:p>
    <w:p>
      <w:pPr>
        <w:pStyle w:val="Heading2"/>
        <w:spacing w:after="120" w:before="280"/>
      </w:pPr>
      <w:r>
        <w:rPr>
          <w:rFonts w:ascii="Arial" w:cs="Arial" w:eastAsia="Arial" w:hAnsi="Arial"/>
          <w:b/>
          <w:bCs/>
          <w:color w:val="1A1A1A"/>
          <w:sz w:val="26"/>
          <w:szCs w:val="26"/>
        </w:rPr>
        <w:t xml:space="preserve">1.10  Review</w:t>
      </w:r>
    </w:p>
    <w:p>
      <w:pPr>
        <w:spacing w:after="80" w:before="80"/>
      </w:pPr>
      <w:r>
        <w:rPr>
          <w:rFonts w:ascii="Arial" w:cs="Arial" w:eastAsia="Arial" w:hAnsi="Arial"/>
          <w:color w:val="1A1A1A"/>
          <w:sz w:val="22"/>
          <w:szCs w:val="22"/>
        </w:rPr>
        <w:t xml:space="preserve">This AUP will be reviewed at least annually and updated to reflect changes in law, the Cybercrimes Act, payment regulations, and Platform development.</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2.  Intellectual Property and Copyright Takedown Policy</w:t>
      </w:r>
    </w:p>
    <w:p>
      <w:pPr>
        <w:pStyle w:val="Heading2"/>
        <w:spacing w:after="120" w:before="280"/>
      </w:pPr>
      <w:r>
        <w:rPr>
          <w:rFonts w:ascii="Arial" w:cs="Arial" w:eastAsia="Arial" w:hAnsi="Arial"/>
          <w:b/>
          <w:bCs/>
          <w:color w:val="1A1A1A"/>
          <w:sz w:val="26"/>
          <w:szCs w:val="26"/>
        </w:rPr>
        <w:t xml:space="preserve">2.1  Purpose</w:t>
      </w:r>
    </w:p>
    <w:p>
      <w:pPr>
        <w:spacing w:after="80" w:before="80"/>
      </w:pPr>
      <w:r>
        <w:rPr>
          <w:rFonts w:ascii="Arial" w:cs="Arial" w:eastAsia="Arial" w:hAnsi="Arial"/>
          <w:color w:val="1A1A1A"/>
          <w:sz w:val="22"/>
          <w:szCs w:val="22"/>
        </w:rPr>
        <w:t xml:space="preserve">This policy provides a mechanism for intellectual property owners to notify ANIMEX of alleged infringement on the Platform, and governs how ANIMEX responds to takedown requests.</w:t>
      </w:r>
    </w:p>
    <w:p>
      <w:pPr>
        <w:pStyle w:val="Heading2"/>
        <w:spacing w:after="120" w:before="280"/>
      </w:pPr>
      <w:r>
        <w:rPr>
          <w:rFonts w:ascii="Arial" w:cs="Arial" w:eastAsia="Arial" w:hAnsi="Arial"/>
          <w:b/>
          <w:bCs/>
          <w:color w:val="1A1A1A"/>
          <w:sz w:val="26"/>
          <w:szCs w:val="26"/>
        </w:rPr>
        <w:t xml:space="preserve">2.2  ANIMEX Intellectual Property</w:t>
      </w:r>
    </w:p>
    <w:p>
      <w:pPr>
        <w:spacing w:after="80" w:before="80"/>
      </w:pPr>
      <w:r>
        <w:rPr>
          <w:rFonts w:ascii="Arial" w:cs="Arial" w:eastAsia="Arial" w:hAnsi="Arial"/>
          <w:color w:val="1A1A1A"/>
          <w:sz w:val="22"/>
          <w:szCs w:val="22"/>
        </w:rPr>
        <w:t>All intellectual property in the Platform - including the ANIMEX name, logo, brand identity, software, database, layout, product and feature names, documentation, and ANIMEX-produced Content - is owned by or licensed to ANIMEX and is protected under the Copyright Act 98 of 1978, the Trade Marks Act 194 of 1993, and applicable South African intellectual property law.</w:t>
      </w:r>
    </w:p>
    <w:p>
      <w:pPr>
        <w:spacing w:after="80" w:before="80"/>
      </w:pPr>
      <w:r>
        <w:rPr>
          <w:rFonts w:ascii="Arial" w:cs="Arial" w:eastAsia="Arial" w:hAnsi="Arial"/>
          <w:color w:val="1A1A1A"/>
          <w:sz w:val="22"/>
          <w:szCs w:val="22"/>
        </w:rPr>
        <w:t xml:space="preserve">Users may not copy, reproduce, modify, reverse-engineer, resell, sublicence, scrape, frame, or distribute any ANIMEX intellectual property without prior written consent.</w:t>
      </w:r>
    </w:p>
    <w:p>
      <w:pPr>
        <w:pStyle w:val="Heading2"/>
        <w:spacing w:after="120" w:before="280"/>
      </w:pPr>
      <w:r>
        <w:rPr>
          <w:rFonts w:ascii="Arial" w:cs="Arial" w:eastAsia="Arial" w:hAnsi="Arial"/>
          <w:b/>
          <w:bCs/>
          <w:color w:val="1A1A1A"/>
          <w:sz w:val="26"/>
          <w:szCs w:val="26"/>
        </w:rPr>
        <w:t xml:space="preserve">2.3  User Content IP</w:t>
      </w:r>
    </w:p>
    <w:p>
      <w:pPr>
        <w:spacing w:after="80" w:before="80"/>
      </w:pPr>
      <w:r>
        <w:rPr>
          <w:rFonts w:ascii="Arial" w:cs="Arial" w:eastAsia="Arial" w:hAnsi="Arial"/>
          <w:color w:val="1A1A1A"/>
          <w:sz w:val="22"/>
          <w:szCs w:val="22"/>
        </w:rPr>
        <w:t xml:space="preserve">Users retain ownership of Content they upload but grant ANIMEX the licence described in the Terms and Conditions. Users are solely responsible for ensuring their Content does not infringe any third party's intellectual property rights.</w:t>
      </w:r>
    </w:p>
    <w:p>
      <w:pPr>
        <w:pStyle w:val="Heading2"/>
        <w:spacing w:after="120" w:before="280"/>
      </w:pPr>
      <w:r>
        <w:rPr>
          <w:rFonts w:ascii="Arial" w:cs="Arial" w:eastAsia="Arial" w:hAnsi="Arial"/>
          <w:b/>
          <w:bCs/>
          <w:color w:val="1A1A1A"/>
          <w:sz w:val="26"/>
          <w:szCs w:val="26"/>
        </w:rPr>
        <w:t xml:space="preserve">2.4  Prohibited Conduct</w:t>
      </w:r>
    </w:p>
    <w:p>
      <w:pPr>
        <w:spacing w:after="80" w:before="80"/>
      </w:pPr>
      <w:r>
        <w:rPr>
          <w:rFonts w:ascii="Arial" w:cs="Arial" w:eastAsia="Arial" w:hAnsi="Arial"/>
          <w:color w:val="1A1A1A"/>
          <w:sz w:val="22"/>
          <w:szCs w:val="22"/>
        </w:rPr>
        <w:t xml:space="preserve">Users must not upload, post, or distribute:</w:t>
      </w:r>
    </w:p>
    <w:p>
      <w:pPr>
        <w:pStyle w:val="ListParagraph"/>
        <w:numPr>
          <w:ilvl w:val="0"/>
          <w:numId w:val="2"/>
        </w:numPr>
        <w:spacing w:after="40" w:before="40"/>
      </w:pPr>
      <w:r>
        <w:rPr>
          <w:rFonts w:ascii="Arial" w:cs="Arial" w:eastAsia="Arial" w:hAnsi="Arial"/>
          <w:color w:val="1A1A1A"/>
          <w:sz w:val="22"/>
          <w:szCs w:val="22"/>
        </w:rPr>
        <w:t xml:space="preserve">images, text, videos, or documents belonging to third parties without authorisation or valid licence;</w:t>
      </w:r>
    </w:p>
    <w:p>
      <w:pPr>
        <w:pStyle w:val="ListParagraph"/>
        <w:numPr>
          <w:ilvl w:val="0"/>
          <w:numId w:val="2"/>
        </w:numPr>
        <w:spacing w:after="40" w:before="40"/>
      </w:pPr>
      <w:r>
        <w:rPr>
          <w:rFonts w:ascii="Arial" w:cs="Arial" w:eastAsia="Arial" w:hAnsi="Arial"/>
          <w:color w:val="1A1A1A"/>
          <w:sz w:val="22"/>
          <w:szCs w:val="22"/>
        </w:rPr>
        <w:t xml:space="preserve">stolen Animal photographs from other Listings, breeders, websites, or social media;</w:t>
      </w:r>
    </w:p>
    <w:p>
      <w:pPr>
        <w:pStyle w:val="ListParagraph"/>
        <w:numPr>
          <w:ilvl w:val="0"/>
          <w:numId w:val="2"/>
        </w:numPr>
        <w:spacing w:after="40" w:before="40"/>
      </w:pPr>
      <w:r>
        <w:rPr>
          <w:rFonts w:ascii="Arial" w:cs="Arial" w:eastAsia="Arial" w:hAnsi="Arial"/>
          <w:color w:val="1A1A1A"/>
          <w:sz w:val="22"/>
          <w:szCs w:val="22"/>
        </w:rPr>
        <w:t xml:space="preserve">pedigree or breed documentation reproduced without the issuing body's authorisation;</w:t>
      </w:r>
    </w:p>
    <w:p>
      <w:pPr>
        <w:pStyle w:val="ListParagraph"/>
        <w:numPr>
          <w:ilvl w:val="0"/>
          <w:numId w:val="2"/>
        </w:numPr>
        <w:spacing w:after="40" w:before="40"/>
      </w:pPr>
      <w:r>
        <w:rPr>
          <w:rFonts w:ascii="Arial" w:cs="Arial" w:eastAsia="Arial" w:hAnsi="Arial"/>
          <w:color w:val="1A1A1A"/>
          <w:sz w:val="22"/>
          <w:szCs w:val="22"/>
        </w:rPr>
        <w:t xml:space="preserve">logos, brand marks, or trade names of third parties in a misleading or infringing manner;</w:t>
      </w:r>
    </w:p>
    <w:p>
      <w:pPr>
        <w:pStyle w:val="ListParagraph"/>
        <w:numPr>
          <w:ilvl w:val="0"/>
          <w:numId w:val="2"/>
        </w:numPr>
        <w:spacing w:after="40" w:before="40"/>
      </w:pPr>
      <w:r>
        <w:rPr>
          <w:rFonts w:ascii="Arial" w:cs="Arial" w:eastAsia="Arial" w:hAnsi="Arial"/>
          <w:color w:val="1A1A1A"/>
          <w:sz w:val="22"/>
          <w:szCs w:val="22"/>
        </w:rPr>
        <w:t xml:space="preserve">Content designed to imply affiliation, endorsement, or authorisation by ANIMEX without consent.</w:t>
      </w:r>
    </w:p>
    <w:p>
      <w:pPr>
        <w:pStyle w:val="Heading2"/>
        <w:spacing w:after="120" w:before="280"/>
      </w:pPr>
      <w:r>
        <w:rPr>
          <w:rFonts w:ascii="Arial" w:cs="Arial" w:eastAsia="Arial" w:hAnsi="Arial"/>
          <w:b/>
          <w:bCs/>
          <w:color w:val="1A1A1A"/>
          <w:sz w:val="26"/>
          <w:szCs w:val="26"/>
        </w:rPr>
        <w:t xml:space="preserve">2.5  Takedown Request Procedure</w:t>
      </w:r>
    </w:p>
    <w:p>
      <w:pPr>
        <w:spacing w:after="80" w:before="80"/>
      </w:pPr>
      <w:r>
        <w:rPr>
          <w:rFonts w:ascii="Arial" w:cs="Arial" w:eastAsia="Arial" w:hAnsi="Arial"/>
          <w:color w:val="1A1A1A"/>
          <w:sz w:val="22"/>
          <w:szCs w:val="22"/>
        </w:rPr>
        <w:t>To submit a takedown request for Content alleged to infringe your intellectual property rights, the requesting party must provide to info@animexofficial.co.za:</w:t>
      </w:r>
    </w:p>
    <w:p>
      <w:pPr>
        <w:pStyle w:val="ListParagraph"/>
        <w:numPr>
          <w:ilvl w:val="0"/>
          <w:numId w:val="3"/>
        </w:numPr>
        <w:spacing w:after="40" w:before="40"/>
      </w:pPr>
      <w:r>
        <w:rPr>
          <w:rFonts w:ascii="Arial" w:cs="Arial" w:eastAsia="Arial" w:hAnsi="Arial"/>
          <w:color w:val="1A1A1A"/>
          <w:sz w:val="22"/>
          <w:szCs w:val="22"/>
        </w:rPr>
        <w:t xml:space="preserve">Full name, contact details, and relationship to the intellectual property at issue;</w:t>
      </w:r>
    </w:p>
    <w:p>
      <w:pPr>
        <w:pStyle w:val="ListParagraph"/>
        <w:numPr>
          <w:ilvl w:val="0"/>
          <w:numId w:val="3"/>
        </w:numPr>
        <w:spacing w:after="40" w:before="40"/>
      </w:pPr>
      <w:r>
        <w:rPr>
          <w:rFonts w:ascii="Arial" w:cs="Arial" w:eastAsia="Arial" w:hAnsi="Arial"/>
          <w:color w:val="1A1A1A"/>
          <w:sz w:val="22"/>
          <w:szCs w:val="22"/>
        </w:rPr>
        <w:t xml:space="preserve">Identification and description of the intellectual property right claimed (copyright, trade mark, or other right);</w:t>
      </w:r>
    </w:p>
    <w:p>
      <w:pPr>
        <w:pStyle w:val="ListParagraph"/>
        <w:numPr>
          <w:ilvl w:val="0"/>
          <w:numId w:val="3"/>
        </w:numPr>
        <w:spacing w:after="40" w:before="40"/>
      </w:pPr>
      <w:r>
        <w:rPr>
          <w:rFonts w:ascii="Arial" w:cs="Arial" w:eastAsia="Arial" w:hAnsi="Arial"/>
          <w:color w:val="1A1A1A"/>
          <w:sz w:val="22"/>
          <w:szCs w:val="22"/>
        </w:rPr>
        <w:t xml:space="preserve">URL or specific location of the allegedly infringing Content on the Platform;</w:t>
      </w:r>
    </w:p>
    <w:p>
      <w:pPr>
        <w:pStyle w:val="ListParagraph"/>
        <w:numPr>
          <w:ilvl w:val="0"/>
          <w:numId w:val="3"/>
        </w:numPr>
        <w:spacing w:after="40" w:before="40"/>
      </w:pPr>
      <w:r>
        <w:rPr>
          <w:rFonts w:ascii="Arial" w:cs="Arial" w:eastAsia="Arial" w:hAnsi="Arial"/>
          <w:color w:val="1A1A1A"/>
          <w:sz w:val="22"/>
          <w:szCs w:val="22"/>
        </w:rPr>
        <w:t xml:space="preserve">A statement that the requester has a good-faith belief that the use is not authorised by the IP owner, their agent, or the law;</w:t>
      </w:r>
    </w:p>
    <w:p>
      <w:pPr>
        <w:pStyle w:val="ListParagraph"/>
        <w:numPr>
          <w:ilvl w:val="0"/>
          <w:numId w:val="3"/>
        </w:numPr>
        <w:spacing w:after="40" w:before="40"/>
      </w:pPr>
      <w:r>
        <w:rPr>
          <w:rFonts w:ascii="Arial" w:cs="Arial" w:eastAsia="Arial" w:hAnsi="Arial"/>
          <w:color w:val="1A1A1A"/>
          <w:sz w:val="22"/>
          <w:szCs w:val="22"/>
        </w:rPr>
        <w:t xml:space="preserve">A statement confirming that the information in the request is accurate and, under penalty of perjury or equivalent commitment, that the requester is authorised to act on behalf of the IP owner;</w:t>
      </w:r>
    </w:p>
    <w:p>
      <w:pPr>
        <w:pStyle w:val="ListParagraph"/>
        <w:numPr>
          <w:ilvl w:val="0"/>
          <w:numId w:val="3"/>
        </w:numPr>
        <w:spacing w:after="40" w:before="40"/>
      </w:pPr>
      <w:r>
        <w:rPr>
          <w:rFonts w:ascii="Arial" w:cs="Arial" w:eastAsia="Arial" w:hAnsi="Arial"/>
          <w:color w:val="1A1A1A"/>
          <w:sz w:val="22"/>
          <w:szCs w:val="22"/>
        </w:rPr>
        <w:t xml:space="preserve">The requester's physical or electronic signature.</w:t>
      </w:r>
    </w:p>
    <w:p>
      <w:pPr>
        <w:spacing w:after="80" w:before="80"/>
      </w:pPr>
      <w:r>
        <w:rPr>
          <w:rFonts w:ascii="Arial" w:cs="Arial" w:eastAsia="Arial" w:hAnsi="Arial"/>
          <w:color w:val="1A1A1A"/>
          <w:sz w:val="22"/>
          <w:szCs w:val="22"/>
        </w:rPr>
        <w:t xml:space="preserve">ANIMEX will acknowledge receipt within 5 (five) business days and will investigate and, where appropriate, remove or restrict the Content within a reasonable period. ANIMEX may share the takedown notice with the User who posted the Content.</w:t>
      </w:r>
    </w:p>
    <w:p>
      <w:pPr>
        <w:pStyle w:val="Heading2"/>
        <w:spacing w:after="120" w:before="280"/>
      </w:pPr>
      <w:r>
        <w:rPr>
          <w:rFonts w:ascii="Arial" w:cs="Arial" w:eastAsia="Arial" w:hAnsi="Arial"/>
          <w:b/>
          <w:bCs/>
          <w:color w:val="1A1A1A"/>
          <w:sz w:val="26"/>
          <w:szCs w:val="26"/>
        </w:rPr>
        <w:t xml:space="preserve">2.6  Counter-Notice Procedure</w:t>
      </w:r>
    </w:p>
    <w:p>
      <w:pPr>
        <w:spacing w:after="80" w:before="80"/>
      </w:pPr>
      <w:r>
        <w:rPr>
          <w:rFonts w:ascii="Arial" w:cs="Arial" w:eastAsia="Arial" w:hAnsi="Arial"/>
          <w:color w:val="1A1A1A"/>
          <w:sz w:val="22"/>
          <w:szCs w:val="22"/>
        </w:rPr>
        <w:t>A User whose Content has been removed pursuant to a takedown request may submit a counter-notice to info@animexofficial.co.za stating:</w:t>
      </w:r>
    </w:p>
    <w:p>
      <w:pPr>
        <w:pStyle w:val="ListParagraph"/>
        <w:numPr>
          <w:ilvl w:val="0"/>
          <w:numId w:val="3"/>
        </w:numPr>
        <w:spacing w:after="40" w:before="40"/>
      </w:pPr>
      <w:r>
        <w:rPr>
          <w:rFonts w:ascii="Arial" w:cs="Arial" w:eastAsia="Arial" w:hAnsi="Arial"/>
          <w:color w:val="1A1A1A"/>
          <w:sz w:val="22"/>
          <w:szCs w:val="22"/>
        </w:rPr>
        <w:t xml:space="preserve">Their identity and contact details;</w:t>
      </w:r>
    </w:p>
    <w:p>
      <w:pPr>
        <w:pStyle w:val="ListParagraph"/>
        <w:numPr>
          <w:ilvl w:val="0"/>
          <w:numId w:val="3"/>
        </w:numPr>
        <w:spacing w:after="40" w:before="40"/>
      </w:pPr>
      <w:r>
        <w:rPr>
          <w:rFonts w:ascii="Arial" w:cs="Arial" w:eastAsia="Arial" w:hAnsi="Arial"/>
          <w:color w:val="1A1A1A"/>
          <w:sz w:val="22"/>
          <w:szCs w:val="22"/>
        </w:rPr>
        <w:t xml:space="preserve">Identification of the removed Content and its location before removal;</w:t>
      </w:r>
    </w:p>
    <w:p>
      <w:pPr>
        <w:pStyle w:val="ListParagraph"/>
        <w:numPr>
          <w:ilvl w:val="0"/>
          <w:numId w:val="3"/>
        </w:numPr>
        <w:spacing w:after="40" w:before="40"/>
      </w:pPr>
      <w:r>
        <w:rPr>
          <w:rFonts w:ascii="Arial" w:cs="Arial" w:eastAsia="Arial" w:hAnsi="Arial"/>
          <w:color w:val="1A1A1A"/>
          <w:sz w:val="22"/>
          <w:szCs w:val="22"/>
        </w:rPr>
        <w:t xml:space="preserve">A statement under penalty of perjury that the removal was the result of a mistake or misidentification;</w:t>
      </w:r>
    </w:p>
    <w:p>
      <w:pPr>
        <w:pStyle w:val="ListParagraph"/>
        <w:numPr>
          <w:ilvl w:val="0"/>
          <w:numId w:val="3"/>
        </w:numPr>
        <w:spacing w:after="40" w:before="40"/>
      </w:pPr>
      <w:r>
        <w:rPr>
          <w:rFonts w:ascii="Arial" w:cs="Arial" w:eastAsia="Arial" w:hAnsi="Arial"/>
          <w:color w:val="1A1A1A"/>
          <w:sz w:val="22"/>
          <w:szCs w:val="22"/>
        </w:rPr>
        <w:t xml:space="preserve">Consent to the jurisdiction of the South Gauteng High Court (Johannesburg) for resolution of any dispute regarding the removal.</w:t>
      </w:r>
    </w:p>
    <w:p>
      <w:pPr>
        <w:spacing w:after="80" w:before="80"/>
      </w:pPr>
      <w:r>
        <w:rPr>
          <w:rFonts w:ascii="Arial" w:cs="Arial" w:eastAsia="Arial" w:hAnsi="Arial"/>
          <w:color w:val="1A1A1A"/>
          <w:sz w:val="22"/>
          <w:szCs w:val="22"/>
        </w:rPr>
        <w:t xml:space="preserve">ANIMEX may reinstate the Content if it receives a valid counter-notice and the IP claimant does not commence court proceedings within the period notified by ANIMEX.</w:t>
      </w:r>
    </w:p>
    <w:p>
      <w:pPr>
        <w:pStyle w:val="Heading2"/>
        <w:spacing w:after="120" w:before="280"/>
      </w:pPr>
      <w:r>
        <w:rPr>
          <w:rFonts w:ascii="Arial" w:cs="Arial" w:eastAsia="Arial" w:hAnsi="Arial"/>
          <w:b/>
          <w:bCs/>
          <w:color w:val="1A1A1A"/>
          <w:sz w:val="26"/>
          <w:szCs w:val="26"/>
        </w:rPr>
        <w:t xml:space="preserve">2.7  Repeat Infringers</w:t>
      </w:r>
    </w:p>
    <w:p>
      <w:pPr>
        <w:spacing w:after="80" w:before="80"/>
      </w:pPr>
      <w:r>
        <w:rPr>
          <w:rFonts w:ascii="Arial" w:cs="Arial" w:eastAsia="Arial" w:hAnsi="Arial"/>
          <w:color w:val="1A1A1A"/>
          <w:sz w:val="22"/>
          <w:szCs w:val="22"/>
        </w:rPr>
        <w:t xml:space="preserve">ANIMEX may permanently ban Users who are found to repeatedly infringe third-party intellectual property rights.</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3.  Animal Transport Policy</w:t>
      </w:r>
    </w:p>
    <w:p>
      <w:pPr>
        <w:pStyle w:val="Heading2"/>
        <w:spacing w:after="120" w:before="280"/>
      </w:pPr>
      <w:r>
        <w:rPr>
          <w:rFonts w:ascii="Arial" w:cs="Arial" w:eastAsia="Arial" w:hAnsi="Arial"/>
          <w:b/>
          <w:bCs/>
          <w:color w:val="1A1A1A"/>
          <w:sz w:val="26"/>
          <w:szCs w:val="26"/>
        </w:rPr>
        <w:t xml:space="preserve">3.1  Purpose</w:t>
      </w:r>
    </w:p>
    <w:p>
      <w:pPr>
        <w:spacing w:after="80" w:before="80"/>
      </w:pPr>
      <w:r>
        <w:rPr>
          <w:rFonts w:ascii="Arial" w:cs="Arial" w:eastAsia="Arial" w:hAnsi="Arial"/>
          <w:color w:val="1A1A1A"/>
          <w:sz w:val="22"/>
          <w:szCs w:val="22"/>
        </w:rPr>
        <w:t xml:space="preserve">This policy sets out minimum requirements for the transport of Animals arranged by or in connection with ANIMEX Platform transactions. The welfare of the Animal during transport is the primary consideration at all times.</w:t>
      </w:r>
    </w:p>
    <w:p>
      <w:pPr>
        <w:pStyle w:val="Heading2"/>
        <w:spacing w:after="120" w:before="280"/>
      </w:pPr>
      <w:r>
        <w:rPr>
          <w:rFonts w:ascii="Arial" w:cs="Arial" w:eastAsia="Arial" w:hAnsi="Arial"/>
          <w:b/>
          <w:bCs/>
          <w:color w:val="1A1A1A"/>
          <w:sz w:val="26"/>
          <w:szCs w:val="26"/>
        </w:rPr>
        <w:t xml:space="preserve">3.2  Legal Framework</w:t>
      </w:r>
    </w:p>
    <w:p>
      <w:pPr>
        <w:spacing w:after="80" w:before="80"/>
      </w:pPr>
      <w:r>
        <w:rPr>
          <w:rFonts w:ascii="Arial" w:cs="Arial" w:eastAsia="Arial" w:hAnsi="Arial"/>
          <w:color w:val="1A1A1A"/>
          <w:sz w:val="22"/>
          <w:szCs w:val="22"/>
        </w:rPr>
        <w:t xml:space="preserve">All transport must comply with the Animals Protection Act 71 of 1962, applicable provisions of the SPCA Act 169 of 1993, the National Road Traffic Act 93 of 1996 where applicable, the NSPCA's Guidelines for the Transport of Animals, and any applicable provincial or municipal by-law governing animal transport.</w:t>
      </w:r>
    </w:p>
    <w:p>
      <w:pPr>
        <w:pStyle w:val="Heading2"/>
        <w:spacing w:after="120" w:before="280"/>
      </w:pPr>
      <w:r>
        <w:rPr>
          <w:rFonts w:ascii="Arial" w:cs="Arial" w:eastAsia="Arial" w:hAnsi="Arial"/>
          <w:b/>
          <w:bCs/>
          <w:color w:val="1A1A1A"/>
          <w:sz w:val="26"/>
          <w:szCs w:val="26"/>
        </w:rPr>
        <w:t xml:space="preserve">3.3  General Transport Principles</w:t>
      </w:r>
    </w:p>
    <w:p>
      <w:pPr>
        <w:spacing w:after="80" w:before="80"/>
      </w:pPr>
      <w:r>
        <w:rPr>
          <w:rFonts w:ascii="Arial" w:cs="Arial" w:eastAsia="Arial" w:hAnsi="Arial"/>
          <w:color w:val="1A1A1A"/>
          <w:sz w:val="22"/>
          <w:szCs w:val="22"/>
        </w:rPr>
        <w:t xml:space="preserve">All Animals being transported in connection with a Platform transaction must:</w:t>
      </w:r>
    </w:p>
    <w:p>
      <w:pPr>
        <w:pStyle w:val="ListParagraph"/>
        <w:numPr>
          <w:ilvl w:val="0"/>
          <w:numId w:val="2"/>
        </w:numPr>
        <w:spacing w:after="40" w:before="40"/>
      </w:pPr>
      <w:r>
        <w:rPr>
          <w:rFonts w:ascii="Arial" w:cs="Arial" w:eastAsia="Arial" w:hAnsi="Arial"/>
          <w:color w:val="1A1A1A"/>
          <w:sz w:val="22"/>
          <w:szCs w:val="22"/>
        </w:rPr>
        <w:t xml:space="preserve">be transported in a manner appropriate to the species, size, age, and health of the Animal;</w:t>
      </w:r>
    </w:p>
    <w:p>
      <w:pPr>
        <w:pStyle w:val="ListParagraph"/>
        <w:numPr>
          <w:ilvl w:val="0"/>
          <w:numId w:val="2"/>
        </w:numPr>
        <w:spacing w:after="40" w:before="40"/>
      </w:pPr>
      <w:r>
        <w:rPr>
          <w:rFonts w:ascii="Arial" w:cs="Arial" w:eastAsia="Arial" w:hAnsi="Arial"/>
          <w:color w:val="1A1A1A"/>
          <w:sz w:val="22"/>
          <w:szCs w:val="22"/>
        </w:rPr>
        <w:t xml:space="preserve">have access to adequate ventilation, temperature regulation, and where appropriate water, throughout the journey;</w:t>
      </w:r>
    </w:p>
    <w:p>
      <w:pPr>
        <w:pStyle w:val="ListParagraph"/>
        <w:numPr>
          <w:ilvl w:val="0"/>
          <w:numId w:val="2"/>
        </w:numPr>
        <w:spacing w:after="40" w:before="40"/>
      </w:pPr>
      <w:r>
        <w:rPr>
          <w:rFonts w:ascii="Arial" w:cs="Arial" w:eastAsia="Arial" w:hAnsi="Arial"/>
          <w:color w:val="1A1A1A"/>
          <w:sz w:val="22"/>
          <w:szCs w:val="22"/>
        </w:rPr>
        <w:t xml:space="preserve">not be overcrowded, stacked, or exposed to conditions causing unnecessary stress, pain, injury, or suffering;</w:t>
      </w:r>
    </w:p>
    <w:p>
      <w:pPr>
        <w:pStyle w:val="ListParagraph"/>
        <w:numPr>
          <w:ilvl w:val="0"/>
          <w:numId w:val="2"/>
        </w:numPr>
        <w:spacing w:after="40" w:before="40"/>
      </w:pPr>
      <w:r>
        <w:rPr>
          <w:rFonts w:ascii="Arial" w:cs="Arial" w:eastAsia="Arial" w:hAnsi="Arial"/>
          <w:color w:val="1A1A1A"/>
          <w:sz w:val="22"/>
          <w:szCs w:val="22"/>
        </w:rPr>
        <w:t xml:space="preserve">not be transported in a vehicle boot, unsecured load area, or in conditions that create risk of injury or escape;</w:t>
      </w:r>
    </w:p>
    <w:p>
      <w:pPr>
        <w:pStyle w:val="ListParagraph"/>
        <w:numPr>
          <w:ilvl w:val="0"/>
          <w:numId w:val="2"/>
        </w:numPr>
        <w:spacing w:after="40" w:before="40"/>
      </w:pPr>
      <w:r>
        <w:rPr>
          <w:rFonts w:ascii="Arial" w:cs="Arial" w:eastAsia="Arial" w:hAnsi="Arial"/>
          <w:color w:val="1A1A1A"/>
          <w:sz w:val="22"/>
          <w:szCs w:val="22"/>
        </w:rPr>
        <w:t xml:space="preserve">not be sedated without veterinary authorisation and supervision;</w:t>
      </w:r>
    </w:p>
    <w:p>
      <w:pPr>
        <w:pStyle w:val="ListParagraph"/>
        <w:numPr>
          <w:ilvl w:val="0"/>
          <w:numId w:val="2"/>
        </w:numPr>
        <w:spacing w:after="40" w:before="40"/>
      </w:pPr>
      <w:r>
        <w:rPr>
          <w:rFonts w:ascii="Arial" w:cs="Arial" w:eastAsia="Arial" w:hAnsi="Arial"/>
          <w:color w:val="1A1A1A"/>
          <w:sz w:val="22"/>
          <w:szCs w:val="22"/>
        </w:rPr>
        <w:t xml:space="preserve">travel in a clean container, crate, or transport unit appropriate for the species;</w:t>
      </w:r>
    </w:p>
    <w:p>
      <w:pPr>
        <w:pStyle w:val="ListParagraph"/>
        <w:numPr>
          <w:ilvl w:val="0"/>
          <w:numId w:val="2"/>
        </w:numPr>
        <w:spacing w:after="40" w:before="40"/>
      </w:pPr>
      <w:r>
        <w:rPr>
          <w:rFonts w:ascii="Arial" w:cs="Arial" w:eastAsia="Arial" w:hAnsi="Arial"/>
          <w:color w:val="1A1A1A"/>
          <w:sz w:val="22"/>
          <w:szCs w:val="22"/>
        </w:rPr>
        <w:t xml:space="preserve">not be transported over distances or durations inconsistent with the Animal's welfare needs without documented veterinary clearance.</w:t>
      </w:r>
    </w:p>
    <w:p>
      <w:pPr>
        <w:pStyle w:val="Heading2"/>
        <w:spacing w:after="120" w:before="280"/>
      </w:pPr>
      <w:r>
        <w:rPr>
          <w:rFonts w:ascii="Arial" w:cs="Arial" w:eastAsia="Arial" w:hAnsi="Arial"/>
          <w:b/>
          <w:bCs/>
          <w:color w:val="1A1A1A"/>
          <w:sz w:val="26"/>
          <w:szCs w:val="26"/>
        </w:rPr>
        <w:t xml:space="preserve">3.4  Species-Specific Requirements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2800"/>
        <w:gridCol w:w="3826"/>
      </w:tblGrid>
      <w:tr>
        <w:tc>
          <w:tcPr>
            <w:tcW w:type="dxa" w:w="24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Species Category</w:t>
            </w:r>
          </w:p>
        </w:tc>
        <w:tc>
          <w:tcPr>
            <w:tcW w:type="dxa" w:w="28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Minimum Requirements</w:t>
            </w:r>
          </w:p>
        </w:tc>
        <w:tc>
          <w:tcPr>
            <w:tcW w:type="dxa" w:w="38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Governing Authority / Standard</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Dogs and cats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Appropriately sized, well-ventilated crate or carrier; secured in vehicle; access to water on journeys over 2 hours; no exposure to extreme temperatures</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Animals Protection Act; NSPCA Guidelines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Puppies and kittens (under 12 weeks)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Insulated, padded carrier; kept with littermates where possible; journey not to exceed 4 hours without welfare break; veterinary clearance for long distance</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NSPCA Guidelines; welfare norms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Birds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Secure, darkened cage or transport box to reduce stress; covered from direct sunlight and wind; not transported with predatory species</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Animals Protection Act; NSPCA Guidelines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Reptiles and amphibians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Escape-proof, ventilated container; temperature-regulated transport; no co-transport with incompatible species; valid permit to accompany the Animal</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NEMBA; TOPS Regulations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Small mammals (rabbits, guinea pigs, etc.)</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Escape-proof carrier; protected from predators; access to hay or feed on journeys over 2 hours</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Animals Protection Act</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Horses and large equines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SANS 10331-compliant horsebox or trailer; bedded floor; adequate height clearance; companions for distance journeys; veterinary health certificate for inter-provincial transport</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Animals Protection Act; NSPCA Guidelines; SANS 10331</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Livestock (cattle, sheep, goats, pigs)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Compliant livestock transport vehicle; not overcrowded; feed and water rest stops per species on journeys exceeding regulatory limits; halal/welfare standards where applicable</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Performing Animals Protection Act; Animals Protection Act; applicable agricultural regulations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Exotic and TOPS-listed species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Compliant CITES transport conditions; valid movement permits; species-appropriate temperature and humidity control; documentation to accompany the Animal at all times</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NEMBA; TOPS Regulations; CITES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Game animals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Low-stress handling and loading; appropriate boma or capture pen procedures; licensed game capture operator where required by provincial law; veterinary health certificate</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NEMBA; TOPS; provincial nature conservation ordinances</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3.5  Seller Transport Responsibilities</w:t>
      </w:r>
    </w:p>
    <w:p>
      <w:pPr>
        <w:spacing w:after="80" w:before="80"/>
      </w:pPr>
      <w:r>
        <w:rPr>
          <w:rFonts w:ascii="Arial" w:cs="Arial" w:eastAsia="Arial" w:hAnsi="Arial"/>
          <w:color w:val="1A1A1A"/>
          <w:sz w:val="22"/>
          <w:szCs w:val="22"/>
        </w:rPr>
        <w:t xml:space="preserve">Where the Seller arranges transport, the Seller is solely responsible for selecting a lawful, experienced, and humane transporter and for ensuring all welfare and documentation requirements are met. ANIMEX is not a transport provider and bears no liability for injury, death, escape, loss, illness, or stress occurring during Seller-arranged transport.</w:t>
      </w:r>
    </w:p>
    <w:p>
      <w:pPr>
        <w:pStyle w:val="Heading2"/>
        <w:spacing w:after="120" w:before="280"/>
      </w:pPr>
      <w:r>
        <w:rPr>
          <w:rFonts w:ascii="Arial" w:cs="Arial" w:eastAsia="Arial" w:hAnsi="Arial"/>
          <w:b/>
          <w:bCs/>
          <w:color w:val="1A1A1A"/>
          <w:sz w:val="26"/>
          <w:szCs w:val="26"/>
        </w:rPr>
        <w:t xml:space="preserve">3.6  Buyer Collection Responsibilities</w:t>
      </w:r>
    </w:p>
    <w:p>
      <w:pPr>
        <w:spacing w:after="80" w:before="80"/>
      </w:pPr>
      <w:r>
        <w:rPr>
          <w:rFonts w:ascii="Arial" w:cs="Arial" w:eastAsia="Arial" w:hAnsi="Arial"/>
          <w:color w:val="1A1A1A"/>
          <w:sz w:val="22"/>
          <w:szCs w:val="22"/>
        </w:rPr>
        <w:t xml:space="preserve">Where the Buyer collects the Animal, the Buyer must arrive with appropriate transport equipment, a safe vehicle, and any required permits. Failure to provide appropriate transport may justify the Seller's refusal to hand over until safe transport is arranged, without breach of the transaction.</w:t>
      </w:r>
    </w:p>
    <w:p>
      <w:pPr>
        <w:pStyle w:val="Heading2"/>
        <w:spacing w:after="120" w:before="280"/>
      </w:pPr>
      <w:r>
        <w:rPr>
          <w:rFonts w:ascii="Arial" w:cs="Arial" w:eastAsia="Arial" w:hAnsi="Arial"/>
          <w:b/>
          <w:bCs/>
          <w:color w:val="1A1A1A"/>
          <w:sz w:val="26"/>
          <w:szCs w:val="26"/>
        </w:rPr>
        <w:t xml:space="preserve">3.7  Prohibited Transport Practices</w:t>
      </w:r>
    </w:p>
    <w:p>
      <w:pPr>
        <w:spacing w:after="80" w:before="80"/>
      </w:pPr>
      <w:r>
        <w:rPr>
          <w:rFonts w:ascii="Arial" w:cs="Arial" w:eastAsia="Arial" w:hAnsi="Arial"/>
          <w:color w:val="1A1A1A"/>
          <w:sz w:val="22"/>
          <w:szCs w:val="22"/>
        </w:rPr>
        <w:t xml:space="preserve">The following transport practices are prohibited in connection with any ANIMEX transaction:</w:t>
      </w:r>
    </w:p>
    <w:p>
      <w:pPr>
        <w:pStyle w:val="ListParagraph"/>
        <w:numPr>
          <w:ilvl w:val="0"/>
          <w:numId w:val="2"/>
        </w:numPr>
        <w:spacing w:after="40" w:before="40"/>
      </w:pPr>
      <w:r>
        <w:rPr>
          <w:rFonts w:ascii="Arial" w:cs="Arial" w:eastAsia="Arial" w:hAnsi="Arial"/>
          <w:color w:val="1A1A1A"/>
          <w:sz w:val="22"/>
          <w:szCs w:val="22"/>
        </w:rPr>
        <w:t xml:space="preserve">any transport method causing unnecessary pain, suffering, or distress;</w:t>
      </w:r>
    </w:p>
    <w:p>
      <w:pPr>
        <w:pStyle w:val="ListParagraph"/>
        <w:numPr>
          <w:ilvl w:val="0"/>
          <w:numId w:val="2"/>
        </w:numPr>
        <w:spacing w:after="40" w:before="40"/>
      </w:pPr>
      <w:r>
        <w:rPr>
          <w:rFonts w:ascii="Arial" w:cs="Arial" w:eastAsia="Arial" w:hAnsi="Arial"/>
          <w:color w:val="1A1A1A"/>
          <w:sz w:val="22"/>
          <w:szCs w:val="22"/>
        </w:rPr>
        <w:t xml:space="preserve">overcrowding multiple Animals of incompatible species or temperaments;</w:t>
      </w:r>
    </w:p>
    <w:p>
      <w:pPr>
        <w:pStyle w:val="ListParagraph"/>
        <w:numPr>
          <w:ilvl w:val="0"/>
          <w:numId w:val="2"/>
        </w:numPr>
        <w:spacing w:after="40" w:before="40"/>
      </w:pPr>
      <w:r>
        <w:rPr>
          <w:rFonts w:ascii="Arial" w:cs="Arial" w:eastAsia="Arial" w:hAnsi="Arial"/>
          <w:color w:val="1A1A1A"/>
          <w:sz w:val="22"/>
          <w:szCs w:val="22"/>
        </w:rPr>
        <w:t xml:space="preserve">leaving Animals unattended in vehicles in high temperatures;</w:t>
      </w:r>
    </w:p>
    <w:p>
      <w:pPr>
        <w:pStyle w:val="ListParagraph"/>
        <w:numPr>
          <w:ilvl w:val="0"/>
          <w:numId w:val="2"/>
        </w:numPr>
        <w:spacing w:after="40" w:before="40"/>
      </w:pPr>
      <w:r>
        <w:rPr>
          <w:rFonts w:ascii="Arial" w:cs="Arial" w:eastAsia="Arial" w:hAnsi="Arial"/>
          <w:color w:val="1A1A1A"/>
          <w:sz w:val="22"/>
          <w:szCs w:val="22"/>
        </w:rPr>
        <w:t xml:space="preserve">use of unlicensed game capture operators for game species where a licence is required;</w:t>
      </w:r>
    </w:p>
    <w:p>
      <w:pPr>
        <w:pStyle w:val="ListParagraph"/>
        <w:numPr>
          <w:ilvl w:val="0"/>
          <w:numId w:val="2"/>
        </w:numPr>
        <w:spacing w:after="40" w:before="40"/>
      </w:pPr>
      <w:r>
        <w:rPr>
          <w:rFonts w:ascii="Arial" w:cs="Arial" w:eastAsia="Arial" w:hAnsi="Arial"/>
          <w:color w:val="1A1A1A"/>
          <w:sz w:val="22"/>
          <w:szCs w:val="22"/>
        </w:rPr>
        <w:t xml:space="preserve">transport of TOPS-listed or CITES-regulated species without required permits accompanying the shipment;</w:t>
      </w:r>
    </w:p>
    <w:p>
      <w:pPr>
        <w:pStyle w:val="ListParagraph"/>
        <w:numPr>
          <w:ilvl w:val="0"/>
          <w:numId w:val="2"/>
        </w:numPr>
        <w:spacing w:after="40" w:before="40"/>
      </w:pPr>
      <w:r>
        <w:rPr>
          <w:rFonts w:ascii="Arial" w:cs="Arial" w:eastAsia="Arial" w:hAnsi="Arial"/>
          <w:color w:val="1A1A1A"/>
          <w:sz w:val="22"/>
          <w:szCs w:val="22"/>
        </w:rPr>
        <w:t xml:space="preserve">unlawful or unregistered commercial transport of Animals.</w:t>
      </w:r>
    </w:p>
    <w:p>
      <w:pPr>
        <w:pStyle w:val="Heading2"/>
        <w:spacing w:after="120" w:before="280"/>
      </w:pPr>
      <w:r>
        <w:rPr>
          <w:rFonts w:ascii="Arial" w:cs="Arial" w:eastAsia="Arial" w:hAnsi="Arial"/>
          <w:b/>
          <w:bCs/>
          <w:color w:val="1A1A1A"/>
          <w:sz w:val="26"/>
          <w:szCs w:val="26"/>
        </w:rPr>
        <w:t xml:space="preserve">3.8  Reporting Transport Welfare Concerns</w:t>
      </w:r>
    </w:p>
    <w:p>
      <w:pPr>
        <w:spacing w:after="80" w:before="80"/>
      </w:pPr>
      <w:r>
        <w:rPr>
          <w:rFonts w:ascii="Arial" w:cs="Arial" w:eastAsia="Arial" w:hAnsi="Arial"/>
          <w:color w:val="1A1A1A"/>
          <w:sz w:val="22"/>
          <w:szCs w:val="22"/>
        </w:rPr>
        <w:t>Users who observe or become aware of inhumane transport must report the incident to info@animexofficial.co.za and may report directly to the SPCA, the NSPCA, or local law enforcement.</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4.  Permit and Documentation Policy</w:t>
      </w:r>
    </w:p>
    <w:p>
      <w:pPr>
        <w:pStyle w:val="Heading2"/>
        <w:spacing w:after="120" w:before="280"/>
      </w:pPr>
      <w:r>
        <w:rPr>
          <w:rFonts w:ascii="Arial" w:cs="Arial" w:eastAsia="Arial" w:hAnsi="Arial"/>
          <w:b/>
          <w:bCs/>
          <w:color w:val="1A1A1A"/>
          <w:sz w:val="26"/>
          <w:szCs w:val="26"/>
        </w:rPr>
        <w:t xml:space="preserve">4.1  Purpose</w:t>
      </w:r>
    </w:p>
    <w:p>
      <w:pPr>
        <w:spacing w:after="80" w:before="80"/>
      </w:pPr>
      <w:r>
        <w:rPr>
          <w:rFonts w:ascii="Arial" w:cs="Arial" w:eastAsia="Arial" w:hAnsi="Arial"/>
          <w:color w:val="1A1A1A"/>
          <w:sz w:val="22"/>
          <w:szCs w:val="22"/>
        </w:rPr>
        <w:t xml:space="preserve">This policy sets out the documentation and permit requirements applicable to different Animal categories listed on the Platform. These requirements are minimum standards. Sellers must independently verify and comply with all applicable national, provincial, and municipal requirements for their specific species.</w:t>
      </w:r>
    </w:p>
    <w:p>
      <w:pPr>
        <w:pStyle w:val="Heading2"/>
        <w:spacing w:after="120" w:before="280"/>
      </w:pPr>
      <w:r>
        <w:rPr>
          <w:rFonts w:ascii="Arial" w:cs="Arial" w:eastAsia="Arial" w:hAnsi="Arial"/>
          <w:b/>
          <w:bCs/>
          <w:color w:val="1A1A1A"/>
          <w:sz w:val="26"/>
          <w:szCs w:val="26"/>
        </w:rPr>
        <w:t xml:space="preserve">4.2  Legal Framework</w:t>
      </w:r>
    </w:p>
    <w:p>
      <w:pPr>
        <w:spacing w:after="80" w:before="80"/>
      </w:pPr>
      <w:r>
        <w:rPr>
          <w:rFonts w:ascii="Arial" w:cs="Arial" w:eastAsia="Arial" w:hAnsi="Arial"/>
          <w:color w:val="1A1A1A"/>
          <w:sz w:val="22"/>
          <w:szCs w:val="22"/>
        </w:rPr>
        <w:t xml:space="preserve">Permit and documentation requirements are governed by NEMBA, TOPS Regulations, the CITES permit system implemented under the National Environmental Laws Amendment Act (NEMA), the National Forests Act 84 of 1998, provincial nature conservation ordinances, municipal by-laws, and species-specific regulations. ANIMEX does not interpret permit law and does not warrant that compliance with ANIMEX's requirements satisfies all applicable legal obligations.</w:t>
      </w:r>
    </w:p>
    <w:p>
      <w:pPr>
        <w:pStyle w:val="Heading2"/>
        <w:spacing w:after="120" w:before="280"/>
      </w:pPr>
      <w:r>
        <w:rPr>
          <w:rFonts w:ascii="Arial" w:cs="Arial" w:eastAsia="Arial" w:hAnsi="Arial"/>
          <w:b/>
          <w:bCs/>
          <w:color w:val="1A1A1A"/>
          <w:sz w:val="26"/>
          <w:szCs w:val="26"/>
        </w:rPr>
        <w:t xml:space="preserve">4.3  Minimum Documentation Required by Category</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Animal Category</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Minimum Documentation Required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Pets - dogs and cats (domestic breeds)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Microchip certificate; vaccination record (up-to-date rabies, distemper, etc.); sterilisation certificate where applicable; KUSA or equivalent registration where claimed; written health declaration by Seller</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Pets - other domestic animals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Species-appropriate vaccination records; microchip or identification record where applicable; health declaration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Equestrian - horses and donkeys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Horse passport or ownership certificate; brand or microchip record; vaccination record (AHS, strangles, tetanus); negative coggins or Equine Infectious Anaemia test result where applicable; veterinary health certificate for transport or sale; Provincial Veterinary Services compliance where required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Livestock - cattle, sheep, goats, pigs, poultry</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Brand registration or ear tag records; movement permit issued by the Department of Agriculture, Land Reform and Rural Development (DALRRD); veterinary health certificate; vaccination records (FMD-free zone, brucellosis, etc.); herd register reference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Game animals (non-TOPS)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Valid provincial hunting or game sale permit; movement permit from provincial nature conservation authority; veterinary health certificate; brand or microchip record where applicable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Game animals (TOPS-listed species)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TOPS permit from DEA (provincial authority); proof of legal origin (captive-bred or lawfully acquired); transport permit; veterinary health certificate; DNA record where applicable; CITES documentation for species listed under CITES Appendices I, II, or III</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Exotic animals - non-TOPS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Proof of legal origin; captive breeding register extract; permit from provincial authority where required; veterinary health certificate; microchip record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Exotic animals - TOPS or CITES-listed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All TOPS permit requirements; CITES permit (import/export where applicable); proof of lawful captive-bred origin; specialist vet certificate; movement permit</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Reptiles and amphibians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TOPS permit for listed species; captive breeding record; province-specific permit where required; veterinary health certificate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Birds (non-TOPS)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Species identification; legal captive origin declaration; ring or microchip record; avian health clearance for high-risk species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Birds (TOPS or CITES-listed)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TOPS permit; CITES permit; captive breeding origin proof; avian health certificate; movement permit</w:t>
            </w:r>
          </w:p>
        </w:tc>
      </w:tr>
    </w:tbl>
    <w:p>
      <w:pPr>
        <w:spacing w:after="60" w:before="60"/>
      </w:pPr>
      <w:r>
        <w:t xml:space="preserve"/>
      </w:r>
    </w:p>
    <w:p>
      <w:pPr>
        <w:shd w:fill="FFF2CC" w:val="clear"/>
        <w:spacing w:after="80" w:before="80"/>
        <w:ind w:left="360" w:right="360"/>
      </w:pPr>
      <w:r>
        <w:rPr>
          <w:rFonts w:ascii="Arial" w:cs="Arial" w:eastAsia="Arial" w:hAnsi="Arial"/>
          <w:b/>
          <w:bCs/>
          <w:color w:val="7F6000"/>
          <w:sz w:val="20"/>
          <w:szCs w:val="20"/>
        </w:rPr>
        <w:t xml:space="preserve">ACTION REQUIRED: This table reflects minimum Platform requirements. Sellers must independently verify current permit requirements with provincial nature conservation authorities, DALRRD, the Department of Forestry, Fisheries and the Environment (DFFE), and competent CITES authorities. Requirements change frequently.</w:t>
      </w:r>
    </w:p>
    <w:p>
      <w:pPr>
        <w:pStyle w:val="Heading2"/>
        <w:spacing w:after="120" w:before="280"/>
      </w:pPr>
      <w:r>
        <w:rPr>
          <w:rFonts w:ascii="Arial" w:cs="Arial" w:eastAsia="Arial" w:hAnsi="Arial"/>
          <w:b/>
          <w:bCs/>
          <w:color w:val="1A1A1A"/>
          <w:sz w:val="26"/>
          <w:szCs w:val="26"/>
        </w:rPr>
        <w:t xml:space="preserve">4.4  Document Upload and Verification</w:t>
      </w:r>
    </w:p>
    <w:p>
      <w:pPr>
        <w:spacing w:after="80" w:before="80"/>
      </w:pPr>
      <w:r>
        <w:rPr>
          <w:rFonts w:ascii="Arial" w:cs="Arial" w:eastAsia="Arial" w:hAnsi="Arial"/>
          <w:color w:val="1A1A1A"/>
          <w:sz w:val="22"/>
          <w:szCs w:val="22"/>
        </w:rPr>
        <w:t xml:space="preserve">Sellers must upload all required documents to their Listing or User profile before the Listing goes live for categories requiring permits. ANIMEX may use automated document checks, manual review, or third-party verification. ANIMEX's document check is a platform-level review only and does not constitute legal verification of permit validity or compliance with all applicable law.</w:t>
      </w:r>
    </w:p>
    <w:p>
      <w:pPr>
        <w:pStyle w:val="Heading2"/>
        <w:spacing w:after="120" w:before="280"/>
      </w:pPr>
      <w:r>
        <w:rPr>
          <w:rFonts w:ascii="Arial" w:cs="Arial" w:eastAsia="Arial" w:hAnsi="Arial"/>
          <w:b/>
          <w:bCs/>
          <w:color w:val="1A1A1A"/>
          <w:sz w:val="26"/>
          <w:szCs w:val="26"/>
        </w:rPr>
        <w:t xml:space="preserve">4.5  Expired or Invalid Permits</w:t>
      </w:r>
    </w:p>
    <w:p>
      <w:pPr>
        <w:spacing w:after="80" w:before="80"/>
      </w:pPr>
      <w:r>
        <w:rPr>
          <w:rFonts w:ascii="Arial" w:cs="Arial" w:eastAsia="Arial" w:hAnsi="Arial"/>
          <w:color w:val="1A1A1A"/>
          <w:sz w:val="22"/>
          <w:szCs w:val="22"/>
        </w:rPr>
        <w:t xml:space="preserve">Listings with expired, invalid, inconsistent, or unverifiable permits will be suspended or rejected. Sellers must renew all permits before the expiry date and upload updated documents to maintain Listing active status. ANIMEX is not responsible for monitoring permit expiry dates on behalf of Sellers.</w:t>
      </w:r>
    </w:p>
    <w:p>
      <w:pPr>
        <w:pStyle w:val="Heading2"/>
        <w:spacing w:after="120" w:before="280"/>
      </w:pPr>
      <w:r>
        <w:rPr>
          <w:rFonts w:ascii="Arial" w:cs="Arial" w:eastAsia="Arial" w:hAnsi="Arial"/>
          <w:b/>
          <w:bCs/>
          <w:color w:val="1A1A1A"/>
          <w:sz w:val="26"/>
          <w:szCs w:val="26"/>
        </w:rPr>
        <w:t xml:space="preserve">4.6  False Documentation</w:t>
      </w:r>
    </w:p>
    <w:p>
      <w:pPr>
        <w:spacing w:after="80" w:before="80"/>
      </w:pPr>
      <w:r>
        <w:rPr>
          <w:rFonts w:ascii="Arial" w:cs="Arial" w:eastAsia="Arial" w:hAnsi="Arial"/>
          <w:color w:val="1A1A1A"/>
          <w:sz w:val="22"/>
          <w:szCs w:val="22"/>
        </w:rPr>
        <w:t xml:space="preserve">Submitting false, forged, backdated, tampered, or misrepresented permit or ownership documents constitutes a material policy breach and may constitute fraud or a criminal offence under the Cybercrimes Act, NEMBA, or the Prevention of Organised Crime Act 121 of 1998. ANIMEX may immediately suspend the account, hold all payouts, report the matter to relevant authorities, and pursue recovery of any losses.</w:t>
      </w:r>
    </w:p>
    <w:p>
      <w:pPr>
        <w:pStyle w:val="Heading2"/>
        <w:spacing w:after="120" w:before="280"/>
      </w:pPr>
      <w:r>
        <w:rPr>
          <w:rFonts w:ascii="Arial" w:cs="Arial" w:eastAsia="Arial" w:hAnsi="Arial"/>
          <w:b/>
          <w:bCs/>
          <w:color w:val="1A1A1A"/>
          <w:sz w:val="26"/>
          <w:szCs w:val="26"/>
        </w:rPr>
        <w:t xml:space="preserve">4.7  Buyer Due Diligence</w:t>
      </w:r>
    </w:p>
    <w:p>
      <w:pPr>
        <w:spacing w:after="80" w:before="80"/>
      </w:pPr>
      <w:r>
        <w:rPr>
          <w:rFonts w:ascii="Arial" w:cs="Arial" w:eastAsia="Arial" w:hAnsi="Arial"/>
          <w:color w:val="1A1A1A"/>
          <w:sz w:val="22"/>
          <w:szCs w:val="22"/>
        </w:rPr>
        <w:t xml:space="preserve">Buyers are encouraged to independently verify the authenticity of permits, health certificates, pedigree records, and microchip registrations before completing a transaction. ANIMEX's verification process does not transfer legal responsibility for permit compliance to ANIMEX.</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5.  Post-Adoption Welfare Check-In Policy</w:t>
      </w:r>
    </w:p>
    <w:p>
      <w:pPr>
        <w:pStyle w:val="Heading2"/>
        <w:spacing w:after="120" w:before="280"/>
      </w:pPr>
      <w:r>
        <w:rPr>
          <w:rFonts w:ascii="Arial" w:cs="Arial" w:eastAsia="Arial" w:hAnsi="Arial"/>
          <w:b/>
          <w:bCs/>
          <w:color w:val="1A1A1A"/>
          <w:sz w:val="26"/>
          <w:szCs w:val="26"/>
        </w:rPr>
        <w:t xml:space="preserve">5.1  Purpose</w:t>
      </w:r>
    </w:p>
    <w:p>
      <w:pPr>
        <w:spacing w:after="80" w:before="80"/>
      </w:pPr>
      <w:r>
        <w:rPr>
          <w:rFonts w:ascii="Arial" w:cs="Arial" w:eastAsia="Arial" w:hAnsi="Arial"/>
          <w:color w:val="1A1A1A"/>
          <w:sz w:val="22"/>
          <w:szCs w:val="22"/>
        </w:rPr>
        <w:t xml:space="preserve">This policy establishes ANIMEX's post-adoption welfare check-in programme. The programme exists to promote responsible adoption, support adopters, enable welfare organisations to monitor outcomes, and detect welfare risks early.</w:t>
      </w:r>
    </w:p>
    <w:p>
      <w:pPr>
        <w:pStyle w:val="Heading2"/>
        <w:spacing w:after="120" w:before="280"/>
      </w:pPr>
      <w:r>
        <w:rPr>
          <w:rFonts w:ascii="Arial" w:cs="Arial" w:eastAsia="Arial" w:hAnsi="Arial"/>
          <w:b/>
          <w:bCs/>
          <w:color w:val="1A1A1A"/>
          <w:sz w:val="26"/>
          <w:szCs w:val="26"/>
        </w:rPr>
        <w:t xml:space="preserve">5.2  Scope</w:t>
      </w:r>
    </w:p>
    <w:p>
      <w:pPr>
        <w:spacing w:after="80" w:before="80"/>
      </w:pPr>
      <w:r>
        <w:rPr>
          <w:rFonts w:ascii="Arial" w:cs="Arial" w:eastAsia="Arial" w:hAnsi="Arial"/>
          <w:color w:val="1A1A1A"/>
          <w:sz w:val="22"/>
          <w:szCs w:val="22"/>
        </w:rPr>
        <w:t xml:space="preserve">This policy applies to all adoptions facilitated through the Platform by Welfare-Verified organisations, SPCA branches, approved welfare bodies, and approved veterinary practices.</w:t>
      </w:r>
    </w:p>
    <w:p>
      <w:pPr>
        <w:pStyle w:val="Heading2"/>
        <w:spacing w:after="120" w:before="280"/>
      </w:pPr>
      <w:r>
        <w:rPr>
          <w:rFonts w:ascii="Arial" w:cs="Arial" w:eastAsia="Arial" w:hAnsi="Arial"/>
          <w:b/>
          <w:bCs/>
          <w:color w:val="1A1A1A"/>
          <w:sz w:val="26"/>
          <w:szCs w:val="26"/>
        </w:rPr>
        <w:t xml:space="preserve">5.3  Check-In Schedule</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Check-In</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Timing and Scope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Check-In 1</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7 days post-handover - initial welfare confirmation: Animal settled, eating, health concerns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Check-In 2</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30 days post-handover - welfare review: veterinary status, environment assessment, concerns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Check-In 3</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90 days post-handover - long-term welfare: integration, behavioural adjustment, sterilisation confirmation where required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Check-In 4</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12 months post-handover - annual welfare touchpoint (recommended, not mandatory unless specified by the originating organisation)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Triggered Check-In</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Any time ANIMEX or the originating organisation has a welfare concern, receives a complaint, or is notified of an adoption change</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5.4  Adopter Obligations</w:t>
      </w:r>
    </w:p>
    <w:p>
      <w:pPr>
        <w:spacing w:after="80" w:before="80"/>
      </w:pPr>
      <w:r>
        <w:rPr>
          <w:rFonts w:ascii="Arial" w:cs="Arial" w:eastAsia="Arial" w:hAnsi="Arial"/>
          <w:color w:val="1A1A1A"/>
          <w:sz w:val="22"/>
          <w:szCs w:val="22"/>
        </w:rPr>
        <w:t xml:space="preserve">Adopters must:</w:t>
      </w:r>
    </w:p>
    <w:p>
      <w:pPr>
        <w:pStyle w:val="ListParagraph"/>
        <w:numPr>
          <w:ilvl w:val="0"/>
          <w:numId w:val="2"/>
        </w:numPr>
        <w:spacing w:after="40" w:before="40"/>
      </w:pPr>
      <w:r>
        <w:rPr>
          <w:rFonts w:ascii="Arial" w:cs="Arial" w:eastAsia="Arial" w:hAnsi="Arial"/>
          <w:color w:val="1A1A1A"/>
          <w:sz w:val="22"/>
          <w:szCs w:val="22"/>
        </w:rPr>
        <w:t xml:space="preserve">complete the scheduled welfare check-in questionnaire submitted through the Platform within 3 (three) business days of receiving the check-in notification;</w:t>
      </w:r>
    </w:p>
    <w:p>
      <w:pPr>
        <w:pStyle w:val="ListParagraph"/>
        <w:numPr>
          <w:ilvl w:val="0"/>
          <w:numId w:val="2"/>
        </w:numPr>
        <w:spacing w:after="40" w:before="40"/>
      </w:pPr>
      <w:r>
        <w:rPr>
          <w:rFonts w:ascii="Arial" w:cs="Arial" w:eastAsia="Arial" w:hAnsi="Arial"/>
          <w:color w:val="1A1A1A"/>
          <w:sz w:val="22"/>
          <w:szCs w:val="22"/>
        </w:rPr>
        <w:t xml:space="preserve">provide honest, accurate responses to all welfare questions;</w:t>
      </w:r>
    </w:p>
    <w:p>
      <w:pPr>
        <w:pStyle w:val="ListParagraph"/>
        <w:numPr>
          <w:ilvl w:val="0"/>
          <w:numId w:val="2"/>
        </w:numPr>
        <w:spacing w:after="40" w:before="40"/>
      </w:pPr>
      <w:r>
        <w:rPr>
          <w:rFonts w:ascii="Arial" w:cs="Arial" w:eastAsia="Arial" w:hAnsi="Arial"/>
          <w:color w:val="1A1A1A"/>
          <w:sz w:val="22"/>
          <w:szCs w:val="22"/>
        </w:rPr>
        <w:t xml:space="preserve">upload a recent photograph of the Animal where requested;</w:t>
      </w:r>
    </w:p>
    <w:p>
      <w:pPr>
        <w:pStyle w:val="ListParagraph"/>
        <w:numPr>
          <w:ilvl w:val="0"/>
          <w:numId w:val="2"/>
        </w:numPr>
        <w:spacing w:after="40" w:before="40"/>
      </w:pPr>
      <w:r>
        <w:rPr>
          <w:rFonts w:ascii="Arial" w:cs="Arial" w:eastAsia="Arial" w:hAnsi="Arial"/>
          <w:color w:val="1A1A1A"/>
          <w:sz w:val="22"/>
          <w:szCs w:val="22"/>
        </w:rPr>
        <w:t xml:space="preserve">cooperate with any follow-up requested by the originating organisation or ANIMEX.</w:t>
      </w:r>
    </w:p>
    <w:p>
      <w:pPr>
        <w:spacing w:after="80" w:before="80"/>
      </w:pPr>
      <w:r>
        <w:rPr>
          <w:rFonts w:ascii="Arial" w:cs="Arial" w:eastAsia="Arial" w:hAnsi="Arial"/>
          <w:color w:val="1A1A1A"/>
          <w:sz w:val="22"/>
          <w:szCs w:val="22"/>
        </w:rPr>
        <w:t xml:space="preserve">Failure to complete scheduled check-ins may result in notification to the originating welfare organisation, welfare flag on the adopter's profile, suspension of the adopter's ability to apply for future adoptions, or referral to welfare authorities where serious concerns arise.</w:t>
      </w:r>
    </w:p>
    <w:p>
      <w:pPr>
        <w:pStyle w:val="Heading2"/>
        <w:spacing w:after="120" w:before="280"/>
      </w:pPr>
      <w:r>
        <w:rPr>
          <w:rFonts w:ascii="Arial" w:cs="Arial" w:eastAsia="Arial" w:hAnsi="Arial"/>
          <w:b/>
          <w:bCs/>
          <w:color w:val="1A1A1A"/>
          <w:sz w:val="26"/>
          <w:szCs w:val="26"/>
        </w:rPr>
        <w:t xml:space="preserve">5.5  Welfare Organisation's Role</w:t>
      </w:r>
    </w:p>
    <w:p>
      <w:pPr>
        <w:spacing w:after="80" w:before="80"/>
      </w:pPr>
      <w:r>
        <w:rPr>
          <w:rFonts w:ascii="Arial" w:cs="Arial" w:eastAsia="Arial" w:hAnsi="Arial"/>
          <w:color w:val="1A1A1A"/>
          <w:sz w:val="22"/>
          <w:szCs w:val="22"/>
        </w:rPr>
        <w:t xml:space="preserve">The originating Welfare-Verified organisation remains responsible for reviewing check-in responses and taking appropriate action. ANIMEX facilitates the collection and routing of check-in data. ANIMEX does not independently verify welfare outcomes but may escalate concerns to the welfare organisation, the SPCA, or other authorities where responses or other information suggest a welfare risk.</w:t>
      </w:r>
    </w:p>
    <w:p>
      <w:pPr>
        <w:pStyle w:val="Heading2"/>
        <w:spacing w:after="120" w:before="280"/>
      </w:pPr>
      <w:r>
        <w:rPr>
          <w:rFonts w:ascii="Arial" w:cs="Arial" w:eastAsia="Arial" w:hAnsi="Arial"/>
          <w:b/>
          <w:bCs/>
          <w:color w:val="1A1A1A"/>
          <w:sz w:val="26"/>
          <w:szCs w:val="26"/>
        </w:rPr>
        <w:t xml:space="preserve">5.6  Triggered Check-Ins and Welfare Escalation</w:t>
      </w:r>
    </w:p>
    <w:p>
      <w:pPr>
        <w:spacing w:after="80" w:before="80"/>
      </w:pPr>
      <w:r>
        <w:rPr>
          <w:rFonts w:ascii="Arial" w:cs="Arial" w:eastAsia="Arial" w:hAnsi="Arial"/>
          <w:color w:val="1A1A1A"/>
          <w:sz w:val="22"/>
          <w:szCs w:val="22"/>
        </w:rPr>
        <w:t xml:space="preserve">ANIMEX or the originating organisation may trigger an unscheduled check-in at any time where there is concern about the Animal's welfare. Trigger events include: failed response to a scheduled check-in; User complaint from a neighbour, family member, or third party; inconsistent or concerning check-in responses; or information received from a third party, SPCA, or welfare inspector.</w:t>
      </w:r>
    </w:p>
    <w:p>
      <w:pPr>
        <w:spacing w:after="80" w:before="80"/>
      </w:pPr>
      <w:r>
        <w:rPr>
          <w:rFonts w:ascii="Arial" w:cs="Arial" w:eastAsia="Arial" w:hAnsi="Arial"/>
          <w:color w:val="1A1A1A"/>
          <w:sz w:val="22"/>
          <w:szCs w:val="22"/>
        </w:rPr>
        <w:t xml:space="preserve">Where a triggered check-in reveals a welfare risk, ANIMEX may: require the adopter to confirm veterinary attendance within a specified period; refer the matter to the originating organisation; refer the matter to the SPCA or welfare inspector; or suspend the adopter's account.</w:t>
      </w:r>
    </w:p>
    <w:p>
      <w:pPr>
        <w:pStyle w:val="Heading2"/>
        <w:spacing w:after="120" w:before="280"/>
      </w:pPr>
      <w:r>
        <w:rPr>
          <w:rFonts w:ascii="Arial" w:cs="Arial" w:eastAsia="Arial" w:hAnsi="Arial"/>
          <w:b/>
          <w:bCs/>
          <w:color w:val="1A1A1A"/>
          <w:sz w:val="26"/>
          <w:szCs w:val="26"/>
        </w:rPr>
        <w:t xml:space="preserve">5.7  Data Protection</w:t>
      </w:r>
    </w:p>
    <w:p>
      <w:pPr>
        <w:spacing w:after="80" w:before="80"/>
      </w:pPr>
      <w:r>
        <w:rPr>
          <w:rFonts w:ascii="Arial" w:cs="Arial" w:eastAsia="Arial" w:hAnsi="Arial"/>
          <w:color w:val="1A1A1A"/>
          <w:sz w:val="22"/>
          <w:szCs w:val="22"/>
        </w:rPr>
        <w:t xml:space="preserve">Check-in data, adopter responses, photographs, and welfare records are personal information processed under POPIA. This data is used only for adoption welfare purposes and is shared only with the originating organisation, relevant welfare authorities, or law enforcement where required. Check-in records are retained in accordance with ANIMEX's Records Retention Schedule.</w:t>
      </w:r>
    </w:p>
    <w:p>
      <w:pPr>
        <w:pStyle w:val="Heading2"/>
        <w:spacing w:after="120" w:before="280"/>
      </w:pPr>
      <w:r>
        <w:rPr>
          <w:rFonts w:ascii="Arial" w:cs="Arial" w:eastAsia="Arial" w:hAnsi="Arial"/>
          <w:b/>
          <w:bCs/>
          <w:color w:val="1A1A1A"/>
          <w:sz w:val="26"/>
          <w:szCs w:val="26"/>
        </w:rPr>
        <w:t xml:space="preserve">5.8  No Guarantee</w:t>
      </w:r>
    </w:p>
    <w:p>
      <w:pPr>
        <w:spacing w:after="80" w:before="80"/>
      </w:pPr>
      <w:r>
        <w:rPr>
          <w:rFonts w:ascii="Arial" w:cs="Arial" w:eastAsia="Arial" w:hAnsi="Arial"/>
          <w:color w:val="1A1A1A"/>
          <w:sz w:val="22"/>
          <w:szCs w:val="22"/>
        </w:rPr>
        <w:t xml:space="preserve">The welfare check-in programme is a supportive and educational tool. ANIMEX does not guarantee the welfare outcome of any adoption. Responsibility for the Animal's welfare rests with the adopter from the time of handover.</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6.  Chargeback and Payment Dispute Policy</w:t>
      </w:r>
    </w:p>
    <w:p>
      <w:pPr>
        <w:pStyle w:val="Heading2"/>
        <w:spacing w:after="120" w:before="280"/>
      </w:pPr>
      <w:r>
        <w:rPr>
          <w:rFonts w:ascii="Arial" w:cs="Arial" w:eastAsia="Arial" w:hAnsi="Arial"/>
          <w:b/>
          <w:bCs/>
          <w:color w:val="1A1A1A"/>
          <w:sz w:val="26"/>
          <w:szCs w:val="26"/>
        </w:rPr>
        <w:t xml:space="preserve">6.1  Purpose</w:t>
      </w:r>
    </w:p>
    <w:p>
      <w:pPr>
        <w:spacing w:after="80" w:before="80"/>
      </w:pPr>
      <w:r>
        <w:rPr>
          <w:rFonts w:ascii="Arial" w:cs="Arial" w:eastAsia="Arial" w:hAnsi="Arial"/>
          <w:color w:val="1A1A1A"/>
          <w:sz w:val="22"/>
          <w:szCs w:val="22"/>
        </w:rPr>
        <w:t xml:space="preserve">This policy governs ANIMEX's response to chargebacks, bank reversals, card scheme disputes, and Payment Provider disputes arising from Secure Checkout transactions.</w:t>
      </w:r>
    </w:p>
    <w:p>
      <w:pPr>
        <w:pStyle w:val="Heading2"/>
        <w:spacing w:after="120" w:before="280"/>
      </w:pPr>
      <w:r>
        <w:rPr>
          <w:rFonts w:ascii="Arial" w:cs="Arial" w:eastAsia="Arial" w:hAnsi="Arial"/>
          <w:b/>
          <w:bCs/>
          <w:color w:val="1A1A1A"/>
          <w:sz w:val="26"/>
          <w:szCs w:val="26"/>
        </w:rPr>
        <w:t xml:space="preserve">6.2  What is a Chargeback</w:t>
      </w:r>
    </w:p>
    <w:p>
      <w:pPr>
        <w:spacing w:after="80" w:before="80"/>
      </w:pPr>
      <w:r>
        <w:rPr>
          <w:rFonts w:ascii="Arial" w:cs="Arial" w:eastAsia="Arial" w:hAnsi="Arial"/>
          <w:color w:val="1A1A1A"/>
          <w:sz w:val="22"/>
          <w:szCs w:val="22"/>
        </w:rPr>
        <w:t xml:space="preserve">A chargeback occurs when a Buyer contacts their bank or card issuer to reverse a payment already processed through the Payment Provider. Chargebacks may arise from: genuine fraud (card not present); Buyer dissatisfaction; non-receipt of goods; significant not-as-described claims; or Buyer error or abuse.</w:t>
      </w:r>
    </w:p>
    <w:p>
      <w:pPr>
        <w:pStyle w:val="Heading2"/>
        <w:spacing w:after="120" w:before="280"/>
      </w:pPr>
      <w:r>
        <w:rPr>
          <w:rFonts w:ascii="Arial" w:cs="Arial" w:eastAsia="Arial" w:hAnsi="Arial"/>
          <w:b/>
          <w:bCs/>
          <w:color w:val="1A1A1A"/>
          <w:sz w:val="26"/>
          <w:szCs w:val="26"/>
        </w:rPr>
        <w:t xml:space="preserve">6.3  ANIMEX's Position</w:t>
      </w:r>
    </w:p>
    <w:p>
      <w:pPr>
        <w:spacing w:after="80" w:before="80"/>
      </w:pPr>
      <w:r>
        <w:rPr>
          <w:rFonts w:ascii="Arial" w:cs="Arial" w:eastAsia="Arial" w:hAnsi="Arial"/>
          <w:color w:val="1A1A1A"/>
          <w:sz w:val="22"/>
          <w:szCs w:val="22"/>
        </w:rPr>
        <w:t xml:space="preserve">ANIMEX does not process payments directly and has no ability to override the Payment Provider's or card scheme's chargeback determination. ANIMEX can: gather and submit evidence on behalf of a Seller contesting a chargeback; freeze payouts; recover funds where possible; and take action against Users who abuse the chargeback process.</w:t>
      </w:r>
    </w:p>
    <w:p>
      <w:pPr>
        <w:pStyle w:val="Heading2"/>
        <w:spacing w:after="120" w:before="280"/>
      </w:pPr>
      <w:r>
        <w:rPr>
          <w:rFonts w:ascii="Arial" w:cs="Arial" w:eastAsia="Arial" w:hAnsi="Arial"/>
          <w:b/>
          <w:bCs/>
          <w:color w:val="1A1A1A"/>
          <w:sz w:val="26"/>
          <w:szCs w:val="26"/>
        </w:rPr>
        <w:t xml:space="preserve">6.4  Timelines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Event</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Timeline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ANIMEX notifies Seller of chargeback</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Within 2 business days of being notified by the Payment Provider</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Seller must respond with evidence</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Within 3 business days of ANIMEX notification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ANIMEX submits evidence to Payment Provider</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Within 1 business day of receiving complete Seller evidence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Payment Provider / card scheme determination</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Varies by scheme - typically 30 to 90 calendar days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ANIMEX notifies Seller of outcome</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Within 2 business days of receiving the determination</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6.5  Required Evidence from Seller</w:t>
      </w:r>
    </w:p>
    <w:p>
      <w:pPr>
        <w:spacing w:after="80" w:before="80"/>
      </w:pPr>
      <w:r>
        <w:rPr>
          <w:rFonts w:ascii="Arial" w:cs="Arial" w:eastAsia="Arial" w:hAnsi="Arial"/>
          <w:color w:val="1A1A1A"/>
          <w:sz w:val="22"/>
          <w:szCs w:val="22"/>
        </w:rPr>
        <w:t xml:space="preserve">To contest a chargeback, the Seller must provide as many of the following as are applicable:</w:t>
      </w:r>
    </w:p>
    <w:p>
      <w:pPr>
        <w:pStyle w:val="ListParagraph"/>
        <w:numPr>
          <w:ilvl w:val="0"/>
          <w:numId w:val="2"/>
        </w:numPr>
        <w:spacing w:after="40" w:before="40"/>
      </w:pPr>
      <w:r>
        <w:rPr>
          <w:rFonts w:ascii="Arial" w:cs="Arial" w:eastAsia="Arial" w:hAnsi="Arial"/>
          <w:color w:val="1A1A1A"/>
          <w:sz w:val="22"/>
          <w:szCs w:val="22"/>
        </w:rPr>
        <w:t xml:space="preserve">proof of Listing and Animal details (screenshots, photographs, full Listing record);</w:t>
      </w:r>
    </w:p>
    <w:p>
      <w:pPr>
        <w:pStyle w:val="ListParagraph"/>
        <w:numPr>
          <w:ilvl w:val="0"/>
          <w:numId w:val="2"/>
        </w:numPr>
        <w:spacing w:after="40" w:before="40"/>
      </w:pPr>
      <w:r>
        <w:rPr>
          <w:rFonts w:ascii="Arial" w:cs="Arial" w:eastAsia="Arial" w:hAnsi="Arial"/>
          <w:color w:val="1A1A1A"/>
          <w:sz w:val="22"/>
          <w:szCs w:val="22"/>
        </w:rPr>
        <w:t xml:space="preserve">proof of the Seller's ownership or authority to transfer the Animal (title documents, permit, microchip records);</w:t>
      </w:r>
    </w:p>
    <w:p>
      <w:pPr>
        <w:pStyle w:val="ListParagraph"/>
        <w:numPr>
          <w:ilvl w:val="0"/>
          <w:numId w:val="2"/>
        </w:numPr>
        <w:spacing w:after="40" w:before="40"/>
      </w:pPr>
      <w:r>
        <w:rPr>
          <w:rFonts w:ascii="Arial" w:cs="Arial" w:eastAsia="Arial" w:hAnsi="Arial"/>
          <w:color w:val="1A1A1A"/>
          <w:sz w:val="22"/>
          <w:szCs w:val="22"/>
        </w:rPr>
        <w:t xml:space="preserve">proof of payment receipt and transaction confirmation;</w:t>
      </w:r>
    </w:p>
    <w:p>
      <w:pPr>
        <w:pStyle w:val="ListParagraph"/>
        <w:numPr>
          <w:ilvl w:val="0"/>
          <w:numId w:val="2"/>
        </w:numPr>
        <w:spacing w:after="40" w:before="40"/>
      </w:pPr>
      <w:r>
        <w:rPr>
          <w:rFonts w:ascii="Arial" w:cs="Arial" w:eastAsia="Arial" w:hAnsi="Arial"/>
          <w:color w:val="1A1A1A"/>
          <w:sz w:val="22"/>
          <w:szCs w:val="22"/>
        </w:rPr>
        <w:t xml:space="preserve">proof of handover (collection receipt, delivery confirmation, third-party witness, photograph at handover);</w:t>
      </w:r>
    </w:p>
    <w:p>
      <w:pPr>
        <w:pStyle w:val="ListParagraph"/>
        <w:numPr>
          <w:ilvl w:val="0"/>
          <w:numId w:val="2"/>
        </w:numPr>
        <w:spacing w:after="40" w:before="40"/>
      </w:pPr>
      <w:r>
        <w:rPr>
          <w:rFonts w:ascii="Arial" w:cs="Arial" w:eastAsia="Arial" w:hAnsi="Arial"/>
          <w:color w:val="1A1A1A"/>
          <w:sz w:val="22"/>
          <w:szCs w:val="22"/>
        </w:rPr>
        <w:t xml:space="preserve">all communications between Buyer and Seller on the Platform;</w:t>
      </w:r>
    </w:p>
    <w:p>
      <w:pPr>
        <w:pStyle w:val="ListParagraph"/>
        <w:numPr>
          <w:ilvl w:val="0"/>
          <w:numId w:val="2"/>
        </w:numPr>
        <w:spacing w:after="40" w:before="40"/>
      </w:pPr>
      <w:r>
        <w:rPr>
          <w:rFonts w:ascii="Arial" w:cs="Arial" w:eastAsia="Arial" w:hAnsi="Arial"/>
          <w:color w:val="1A1A1A"/>
          <w:sz w:val="22"/>
          <w:szCs w:val="22"/>
        </w:rPr>
        <w:t xml:space="preserve">veterinary health certificates or records supporting the condition represented in the Listing;</w:t>
      </w:r>
    </w:p>
    <w:p>
      <w:pPr>
        <w:pStyle w:val="ListParagraph"/>
        <w:numPr>
          <w:ilvl w:val="0"/>
          <w:numId w:val="2"/>
        </w:numPr>
        <w:spacing w:after="40" w:before="40"/>
      </w:pPr>
      <w:r>
        <w:rPr>
          <w:rFonts w:ascii="Arial" w:cs="Arial" w:eastAsia="Arial" w:hAnsi="Arial"/>
          <w:color w:val="1A1A1A"/>
          <w:sz w:val="22"/>
          <w:szCs w:val="22"/>
        </w:rPr>
        <w:t xml:space="preserve">any signed or electronically confirmed inspection or acceptance record;</w:t>
      </w:r>
    </w:p>
    <w:p>
      <w:pPr>
        <w:pStyle w:val="ListParagraph"/>
        <w:numPr>
          <w:ilvl w:val="0"/>
          <w:numId w:val="2"/>
        </w:numPr>
        <w:spacing w:after="40" w:before="40"/>
      </w:pPr>
      <w:r>
        <w:rPr>
          <w:rFonts w:ascii="Arial" w:cs="Arial" w:eastAsia="Arial" w:hAnsi="Arial"/>
          <w:color w:val="1A1A1A"/>
          <w:sz w:val="22"/>
          <w:szCs w:val="22"/>
        </w:rPr>
        <w:t>evidence that the Buyer raised no concerns within the applicable Review Window.</w:t>
      </w:r>
    </w:p>
    <w:p>
      <w:pPr>
        <w:spacing w:after="80" w:before="80"/>
      </w:pPr>
      <w:r>
        <w:rPr>
          <w:rFonts w:ascii="Arial" w:cs="Arial" w:eastAsia="Arial" w:hAnsi="Arial"/>
          <w:color w:val="1A1A1A"/>
          <w:sz w:val="22"/>
          <w:szCs w:val="22"/>
        </w:rPr>
        <w:t xml:space="preserve">Incomplete or late evidence reduces the likelihood of a successful chargeback contest. ANIMEX will use commercially reasonable efforts to represent the Seller but makes no warranty regarding the outcome of any chargeback dispute.</w:t>
      </w:r>
    </w:p>
    <w:p>
      <w:pPr>
        <w:pStyle w:val="Heading2"/>
        <w:spacing w:after="120" w:before="280"/>
      </w:pPr>
      <w:r>
        <w:rPr>
          <w:rFonts w:ascii="Arial" w:cs="Arial" w:eastAsia="Arial" w:hAnsi="Arial"/>
          <w:b/>
          <w:bCs/>
          <w:color w:val="1A1A1A"/>
          <w:sz w:val="26"/>
          <w:szCs w:val="26"/>
        </w:rPr>
        <w:t xml:space="preserve">6.6  Seller Liability for Chargeback Costs</w:t>
      </w:r>
    </w:p>
    <w:p>
      <w:pPr>
        <w:spacing w:after="80" w:before="80"/>
      </w:pPr>
      <w:r>
        <w:rPr>
          <w:rFonts w:ascii="Arial" w:cs="Arial" w:eastAsia="Arial" w:hAnsi="Arial"/>
          <w:color w:val="1A1A1A"/>
          <w:sz w:val="22"/>
          <w:szCs w:val="22"/>
        </w:rPr>
        <w:t xml:space="preserve">Where a chargeback is determined in the Buyer's favour and ANIMEX has already released funds to the Seller, ANIMEX may:</w:t>
      </w:r>
    </w:p>
    <w:p>
      <w:pPr>
        <w:pStyle w:val="ListParagraph"/>
        <w:numPr>
          <w:ilvl w:val="0"/>
          <w:numId w:val="2"/>
        </w:numPr>
        <w:spacing w:after="40" w:before="40"/>
      </w:pPr>
      <w:r>
        <w:rPr>
          <w:rFonts w:ascii="Arial" w:cs="Arial" w:eastAsia="Arial" w:hAnsi="Arial"/>
          <w:color w:val="1A1A1A"/>
          <w:sz w:val="22"/>
          <w:szCs w:val="22"/>
        </w:rPr>
        <w:t xml:space="preserve">debit the Seller's future payouts for the full amount of the chargeback;</w:t>
      </w:r>
    </w:p>
    <w:p>
      <w:pPr>
        <w:pStyle w:val="ListParagraph"/>
        <w:numPr>
          <w:ilvl w:val="0"/>
          <w:numId w:val="2"/>
        </w:numPr>
        <w:spacing w:after="40" w:before="40"/>
      </w:pPr>
      <w:r>
        <w:rPr>
          <w:rFonts w:ascii="Arial" w:cs="Arial" w:eastAsia="Arial" w:hAnsi="Arial"/>
          <w:color w:val="1A1A1A"/>
          <w:sz w:val="22"/>
          <w:szCs w:val="22"/>
        </w:rPr>
        <w:t xml:space="preserve">debit the Seller's account for Payment Provider chargeback processing fees;</w:t>
      </w:r>
    </w:p>
    <w:p>
      <w:pPr>
        <w:pStyle w:val="ListParagraph"/>
        <w:numPr>
          <w:ilvl w:val="0"/>
          <w:numId w:val="2"/>
        </w:numPr>
        <w:spacing w:after="40" w:before="40"/>
      </w:pPr>
      <w:r>
        <w:rPr>
          <w:rFonts w:ascii="Arial" w:cs="Arial" w:eastAsia="Arial" w:hAnsi="Arial"/>
          <w:color w:val="1A1A1A"/>
          <w:sz w:val="22"/>
          <w:szCs w:val="22"/>
        </w:rPr>
        <w:t xml:space="preserve">hold all pending payouts until the chargeback liability is resolved;</w:t>
      </w:r>
    </w:p>
    <w:p>
      <w:pPr>
        <w:pStyle w:val="ListParagraph"/>
        <w:numPr>
          <w:ilvl w:val="0"/>
          <w:numId w:val="2"/>
        </w:numPr>
        <w:spacing w:after="40" w:before="40"/>
      </w:pPr>
      <w:r>
        <w:rPr>
          <w:rFonts w:ascii="Arial" w:cs="Arial" w:eastAsia="Arial" w:hAnsi="Arial"/>
          <w:color w:val="1A1A1A"/>
          <w:sz w:val="22"/>
          <w:szCs w:val="22"/>
        </w:rPr>
        <w:t xml:space="preserve">set off chargeback amounts against any other balance owed to the Seller.</w:t>
      </w:r>
    </w:p>
    <w:p>
      <w:pPr>
        <w:spacing w:after="80" w:before="80"/>
      </w:pPr>
      <w:r>
        <w:rPr>
          <w:rFonts w:ascii="Arial" w:cs="Arial" w:eastAsia="Arial" w:hAnsi="Arial"/>
          <w:color w:val="1A1A1A"/>
          <w:sz w:val="22"/>
          <w:szCs w:val="22"/>
        </w:rPr>
        <w:t xml:space="preserve">Where the chargeback results from the Seller's misrepresentation, fraud, failure to hand over, or policy breach, the Seller bears full chargeback liability.</w:t>
      </w:r>
    </w:p>
    <w:p>
      <w:pPr>
        <w:pStyle w:val="Heading2"/>
        <w:spacing w:after="120" w:before="280"/>
      </w:pPr>
      <w:r>
        <w:rPr>
          <w:rFonts w:ascii="Arial" w:cs="Arial" w:eastAsia="Arial" w:hAnsi="Arial"/>
          <w:b/>
          <w:bCs/>
          <w:color w:val="1A1A1A"/>
          <w:sz w:val="26"/>
          <w:szCs w:val="26"/>
        </w:rPr>
        <w:t xml:space="preserve">6.7  Buyer Chargeback Abuse</w:t>
      </w:r>
    </w:p>
    <w:p>
      <w:pPr>
        <w:spacing w:after="80" w:before="80"/>
      </w:pPr>
      <w:r>
        <w:rPr>
          <w:rFonts w:ascii="Arial" w:cs="Arial" w:eastAsia="Arial" w:hAnsi="Arial"/>
          <w:color w:val="1A1A1A"/>
          <w:sz w:val="22"/>
          <w:szCs w:val="22"/>
        </w:rPr>
        <w:t xml:space="preserve">Initiating a chargeback while simultaneously holding the Animal without legitimate cause constitutes chargeback fraud. Users who abuse the chargeback process may face: permanent account ban; referral to the SAPS and DPCI; civil recovery proceedings; and reporting to the card issuer and the Payment Provider.</w:t>
      </w:r>
    </w:p>
    <w:p>
      <w:pPr>
        <w:pStyle w:val="Heading2"/>
        <w:spacing w:after="120" w:before="280"/>
      </w:pPr>
      <w:r>
        <w:rPr>
          <w:rFonts w:ascii="Arial" w:cs="Arial" w:eastAsia="Arial" w:hAnsi="Arial"/>
          <w:b/>
          <w:bCs/>
          <w:color w:val="1A1A1A"/>
          <w:sz w:val="26"/>
          <w:szCs w:val="26"/>
        </w:rPr>
        <w:t xml:space="preserve">6.8  Platform-Level Disputes vs Bank-Level Chargebacks</w:t>
      </w:r>
    </w:p>
    <w:p>
      <w:pPr>
        <w:spacing w:after="80" w:before="80"/>
      </w:pPr>
      <w:r>
        <w:rPr>
          <w:rFonts w:ascii="Arial" w:cs="Arial" w:eastAsia="Arial" w:hAnsi="Arial"/>
          <w:color w:val="1A1A1A"/>
          <w:sz w:val="22"/>
          <w:szCs w:val="22"/>
        </w:rPr>
        <w:t xml:space="preserve">A Platform Dispute through ANIMEX's internal process is separate from a bank-level chargeback. Raising a Platform Dispute does not suspend the Buyer's right to also contact their bank, but ANIMEX strongly recommends the Platform Dispute route as the first step, since a resolved Platform Dispute may prevent the need for a chargeback. ANIMEX may use evidence from a Platform Dispute to inform its chargeback response.</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7.  Marketing and Communications Policy</w:t>
      </w:r>
    </w:p>
    <w:p>
      <w:pPr>
        <w:pStyle w:val="Heading2"/>
        <w:spacing w:after="120" w:before="280"/>
      </w:pPr>
      <w:r>
        <w:rPr>
          <w:rFonts w:ascii="Arial" w:cs="Arial" w:eastAsia="Arial" w:hAnsi="Arial"/>
          <w:b/>
          <w:bCs/>
          <w:color w:val="1A1A1A"/>
          <w:sz w:val="26"/>
          <w:szCs w:val="26"/>
        </w:rPr>
        <w:t xml:space="preserve">7.1  Purpose</w:t>
      </w:r>
    </w:p>
    <w:p>
      <w:pPr>
        <w:spacing w:after="80" w:before="80"/>
      </w:pPr>
      <w:r>
        <w:rPr>
          <w:rFonts w:ascii="Arial" w:cs="Arial" w:eastAsia="Arial" w:hAnsi="Arial"/>
          <w:color w:val="1A1A1A"/>
          <w:sz w:val="22"/>
          <w:szCs w:val="22"/>
        </w:rPr>
        <w:t xml:space="preserve">This policy governs how ANIMEX communicates with Users and the public for marketing and promotional purposes, and the obligations of Users conducting marketing on or through the Platform.</w:t>
      </w:r>
    </w:p>
    <w:p>
      <w:pPr>
        <w:pStyle w:val="Heading2"/>
        <w:spacing w:after="120" w:before="280"/>
      </w:pPr>
      <w:r>
        <w:rPr>
          <w:rFonts w:ascii="Arial" w:cs="Arial" w:eastAsia="Arial" w:hAnsi="Arial"/>
          <w:b/>
          <w:bCs/>
          <w:color w:val="1A1A1A"/>
          <w:sz w:val="26"/>
          <w:szCs w:val="26"/>
        </w:rPr>
        <w:t xml:space="preserve">7.2  Applicable Law</w:t>
      </w:r>
    </w:p>
    <w:p>
      <w:pPr>
        <w:spacing w:after="80" w:before="80"/>
      </w:pPr>
      <w:r>
        <w:rPr>
          <w:rFonts w:ascii="Arial" w:cs="Arial" w:eastAsia="Arial" w:hAnsi="Arial"/>
          <w:color w:val="1A1A1A"/>
          <w:sz w:val="22"/>
          <w:szCs w:val="22"/>
        </w:rPr>
        <w:t xml:space="preserve">ANIMEX's marketing activities are governed by section 69 of POPIA (direct marketing by electronic communication), section 45 of the ECT Act (unsolicited commercial communications), the CPA's provisions on marketing, and the Advertising Regulatory Board (ARB) code of advertising practice where applicable.</w:t>
      </w:r>
    </w:p>
    <w:p>
      <w:pPr>
        <w:pStyle w:val="Heading2"/>
        <w:spacing w:after="120" w:before="280"/>
      </w:pPr>
      <w:r>
        <w:rPr>
          <w:rFonts w:ascii="Arial" w:cs="Arial" w:eastAsia="Arial" w:hAnsi="Arial"/>
          <w:b/>
          <w:bCs/>
          <w:color w:val="1A1A1A"/>
          <w:sz w:val="26"/>
          <w:szCs w:val="26"/>
        </w:rPr>
        <w:t xml:space="preserve">7.3  ANIMEX Direct Marketing</w:t>
      </w:r>
    </w:p>
    <w:p>
      <w:pPr>
        <w:spacing w:after="80" w:before="80"/>
      </w:pPr>
      <w:r>
        <w:rPr>
          <w:rFonts w:ascii="Arial" w:cs="Arial" w:eastAsia="Arial" w:hAnsi="Arial"/>
          <w:color w:val="1A1A1A"/>
          <w:sz w:val="22"/>
          <w:szCs w:val="22"/>
        </w:rPr>
        <w:t xml:space="preserve">ANIMEX will only send marketing and promotional communications to Users who have:</w:t>
      </w:r>
    </w:p>
    <w:p>
      <w:pPr>
        <w:pStyle w:val="ListParagraph"/>
        <w:numPr>
          <w:ilvl w:val="0"/>
          <w:numId w:val="2"/>
        </w:numPr>
        <w:spacing w:after="40" w:before="40"/>
      </w:pPr>
      <w:r>
        <w:rPr>
          <w:rFonts w:ascii="Arial" w:cs="Arial" w:eastAsia="Arial" w:hAnsi="Arial"/>
          <w:color w:val="1A1A1A"/>
          <w:sz w:val="22"/>
          <w:szCs w:val="22"/>
        </w:rPr>
        <w:t xml:space="preserve">provided specific, informed, and freely given consent to receive marketing communications from ANIMEX; or</w:t>
      </w:r>
    </w:p>
    <w:p>
      <w:pPr>
        <w:pStyle w:val="ListParagraph"/>
        <w:numPr>
          <w:ilvl w:val="0"/>
          <w:numId w:val="2"/>
        </w:numPr>
        <w:spacing w:after="40" w:before="40"/>
      </w:pPr>
      <w:r>
        <w:rPr>
          <w:rFonts w:ascii="Arial" w:cs="Arial" w:eastAsia="Arial" w:hAnsi="Arial"/>
          <w:color w:val="1A1A1A"/>
          <w:sz w:val="22"/>
          <w:szCs w:val="22"/>
        </w:rPr>
        <w:t xml:space="preserve">purchased a product or used a service from ANIMEX, in which case ANIMEX may market similar products or services subject to the opt-out mechanism below.</w:t>
      </w:r>
    </w:p>
    <w:p>
      <w:pPr>
        <w:spacing w:after="80" w:before="80"/>
      </w:pPr>
      <w:r>
        <w:rPr>
          <w:rFonts w:ascii="Arial" w:cs="Arial" w:eastAsia="Arial" w:hAnsi="Arial"/>
          <w:color w:val="1A1A1A"/>
          <w:sz w:val="22"/>
          <w:szCs w:val="22"/>
        </w:rPr>
        <w:t xml:space="preserve">Every marketing communication from ANIMEX will include: clear identification of ANIMEX as the sender; a clear and functional unsubscribe mechanism that allows the User to opt out at no charge; and accurate contact details.</w:t>
      </w:r>
    </w:p>
    <w:p>
      <w:pPr>
        <w:spacing w:after="80" w:before="80"/>
      </w:pPr>
      <w:r>
        <w:rPr>
          <w:rFonts w:ascii="Arial" w:cs="Arial" w:eastAsia="Arial" w:hAnsi="Arial"/>
          <w:color w:val="1A1A1A"/>
          <w:sz w:val="22"/>
          <w:szCs w:val="22"/>
        </w:rPr>
        <w:t xml:space="preserve">ANIMEX will process opt-out requests within 5 (five) business days. After opt-out, no further marketing communications will be sent to the opted-out address or number, except where the User provides fresh consent.</w:t>
      </w:r>
    </w:p>
    <w:p>
      <w:pPr>
        <w:pStyle w:val="Heading2"/>
        <w:spacing w:after="120" w:before="280"/>
      </w:pPr>
      <w:r>
        <w:rPr>
          <w:rFonts w:ascii="Arial" w:cs="Arial" w:eastAsia="Arial" w:hAnsi="Arial"/>
          <w:b/>
          <w:bCs/>
          <w:color w:val="1A1A1A"/>
          <w:sz w:val="26"/>
          <w:szCs w:val="26"/>
        </w:rPr>
        <w:t xml:space="preserve">7.4  No Sale of User Data for Marketing</w:t>
      </w:r>
    </w:p>
    <w:p>
      <w:pPr>
        <w:spacing w:after="80" w:before="80"/>
      </w:pPr>
      <w:r>
        <w:rPr>
          <w:rFonts w:ascii="Arial" w:cs="Arial" w:eastAsia="Arial" w:hAnsi="Arial"/>
          <w:color w:val="1A1A1A"/>
          <w:sz w:val="22"/>
          <w:szCs w:val="22"/>
        </w:rPr>
        <w:t xml:space="preserve">ANIMEX does not sell, rent, trade, or otherwise make User personal information available to any third party for their direct marketing purposes.</w:t>
      </w:r>
    </w:p>
    <w:p>
      <w:pPr>
        <w:pStyle w:val="Heading2"/>
        <w:spacing w:after="120" w:before="280"/>
      </w:pPr>
      <w:r>
        <w:rPr>
          <w:rFonts w:ascii="Arial" w:cs="Arial" w:eastAsia="Arial" w:hAnsi="Arial"/>
          <w:b/>
          <w:bCs/>
          <w:color w:val="1A1A1A"/>
          <w:sz w:val="26"/>
          <w:szCs w:val="26"/>
        </w:rPr>
        <w:t xml:space="preserve">7.5  Third-Party Advertising on the Platform</w:t>
      </w:r>
    </w:p>
    <w:p>
      <w:pPr>
        <w:spacing w:after="80" w:before="80"/>
      </w:pPr>
      <w:r>
        <w:rPr>
          <w:rFonts w:ascii="Arial" w:cs="Arial" w:eastAsia="Arial" w:hAnsi="Arial"/>
          <w:color w:val="1A1A1A"/>
          <w:sz w:val="22"/>
          <w:szCs w:val="22"/>
        </w:rPr>
        <w:t xml:space="preserve">ANIMEX does not permit paid third-party advertising or sponsored User recommendations within the Platform interface that would constitute promotion-for-payment without disclosure. Any promotional partnership, sponsored content, or affiliate arrangement will be clearly labelled.</w:t>
      </w:r>
    </w:p>
    <w:p>
      <w:pPr>
        <w:pStyle w:val="Heading2"/>
        <w:spacing w:after="120" w:before="280"/>
      </w:pPr>
      <w:r>
        <w:rPr>
          <w:rFonts w:ascii="Arial" w:cs="Arial" w:eastAsia="Arial" w:hAnsi="Arial"/>
          <w:b/>
          <w:bCs/>
          <w:color w:val="1A1A1A"/>
          <w:sz w:val="26"/>
          <w:szCs w:val="26"/>
        </w:rPr>
        <w:t xml:space="preserve">7.6  Welfare Partner and Breeder Marketing</w:t>
      </w:r>
    </w:p>
    <w:p>
      <w:pPr>
        <w:spacing w:after="80" w:before="80"/>
      </w:pPr>
      <w:r>
        <w:rPr>
          <w:rFonts w:ascii="Arial" w:cs="Arial" w:eastAsia="Arial" w:hAnsi="Arial"/>
          <w:color w:val="1A1A1A"/>
          <w:sz w:val="22"/>
          <w:szCs w:val="22"/>
        </w:rPr>
        <w:t xml:space="preserve">Welfare Partners and Verified Breeders may describe their affiliation with ANIMEX in their own marketing materials subject to the following:</w:t>
      </w:r>
    </w:p>
    <w:p>
      <w:pPr>
        <w:pStyle w:val="ListParagraph"/>
        <w:numPr>
          <w:ilvl w:val="0"/>
          <w:numId w:val="2"/>
        </w:numPr>
        <w:spacing w:after="40" w:before="40"/>
      </w:pPr>
      <w:r>
        <w:rPr>
          <w:rFonts w:ascii="Arial" w:cs="Arial" w:eastAsia="Arial" w:hAnsi="Arial"/>
          <w:color w:val="1A1A1A"/>
          <w:sz w:val="22"/>
          <w:szCs w:val="22"/>
        </w:rPr>
        <w:t xml:space="preserve">they must accurately describe their relationship ("available on ANIMEX" or "listed on ANIMEX");</w:t>
      </w:r>
    </w:p>
    <w:p>
      <w:pPr>
        <w:pStyle w:val="ListParagraph"/>
        <w:numPr>
          <w:ilvl w:val="0"/>
          <w:numId w:val="2"/>
        </w:numPr>
        <w:spacing w:after="40" w:before="40"/>
      </w:pPr>
      <w:r>
        <w:rPr>
          <w:rFonts w:ascii="Arial" w:cs="Arial" w:eastAsia="Arial" w:hAnsi="Arial"/>
          <w:color w:val="1A1A1A"/>
          <w:sz w:val="22"/>
          <w:szCs w:val="22"/>
        </w:rPr>
        <w:t xml:space="preserve">they must not use the ANIMEX name or logo in a manner that implies ownership, employment, or financial support by ANIMEX unless expressly agreed in writing;</w:t>
      </w:r>
    </w:p>
    <w:p>
      <w:pPr>
        <w:pStyle w:val="ListParagraph"/>
        <w:numPr>
          <w:ilvl w:val="0"/>
          <w:numId w:val="2"/>
        </w:numPr>
        <w:spacing w:after="40" w:before="40"/>
      </w:pPr>
      <w:r>
        <w:rPr>
          <w:rFonts w:ascii="Arial" w:cs="Arial" w:eastAsia="Arial" w:hAnsi="Arial"/>
          <w:color w:val="1A1A1A"/>
          <w:sz w:val="22"/>
          <w:szCs w:val="22"/>
        </w:rPr>
        <w:t xml:space="preserve">they must not make marketing claims about Animal health, breed quality, or welfare that are not supportable and may mislead consumers in breach of the CPA;</w:t>
      </w:r>
    </w:p>
    <w:p>
      <w:pPr>
        <w:pStyle w:val="ListParagraph"/>
        <w:numPr>
          <w:ilvl w:val="0"/>
          <w:numId w:val="2"/>
        </w:numPr>
        <w:spacing w:after="40" w:before="40"/>
      </w:pPr>
      <w:r>
        <w:rPr>
          <w:rFonts w:ascii="Arial" w:cs="Arial" w:eastAsia="Arial" w:hAnsi="Arial"/>
          <w:color w:val="1A1A1A"/>
          <w:sz w:val="22"/>
          <w:szCs w:val="22"/>
        </w:rPr>
        <w:t xml:space="preserve">they must comply with all applicable ARB advertising standards, POPIA, and CPA marketing requirements.</w:t>
      </w:r>
    </w:p>
    <w:p>
      <w:pPr>
        <w:pStyle w:val="Heading2"/>
        <w:spacing w:after="120" w:before="280"/>
      </w:pPr>
      <w:r>
        <w:rPr>
          <w:rFonts w:ascii="Arial" w:cs="Arial" w:eastAsia="Arial" w:hAnsi="Arial"/>
          <w:b/>
          <w:bCs/>
          <w:color w:val="1A1A1A"/>
          <w:sz w:val="26"/>
          <w:szCs w:val="26"/>
        </w:rPr>
        <w:t xml:space="preserve">7.7  User-Generated Promotional Content</w:t>
      </w:r>
    </w:p>
    <w:p>
      <w:pPr>
        <w:spacing w:after="80" w:before="80"/>
      </w:pPr>
      <w:r>
        <w:rPr>
          <w:rFonts w:ascii="Arial" w:cs="Arial" w:eastAsia="Arial" w:hAnsi="Arial"/>
          <w:color w:val="1A1A1A"/>
          <w:sz w:val="22"/>
          <w:szCs w:val="22"/>
        </w:rPr>
        <w:t xml:space="preserve">Users may share Platform content (Listings, reviews, adoption stories) on their personal social media and public channels. Users must not misrepresent the ANIMEX brand, claim ANIMEX endorsement of specific Animals, or conduct marketing activities on ANIMEX's behalf without written consent.</w:t>
      </w:r>
    </w:p>
    <w:p>
      <w:pPr>
        <w:pStyle w:val="Heading2"/>
        <w:spacing w:after="120" w:before="280"/>
      </w:pPr>
      <w:r>
        <w:rPr>
          <w:rFonts w:ascii="Arial" w:cs="Arial" w:eastAsia="Arial" w:hAnsi="Arial"/>
          <w:b/>
          <w:bCs/>
          <w:color w:val="1A1A1A"/>
          <w:sz w:val="26"/>
          <w:szCs w:val="26"/>
        </w:rPr>
        <w:t xml:space="preserve">7.8  Platform Communication Channels</w:t>
      </w:r>
    </w:p>
    <w:p>
      <w:pPr>
        <w:spacing w:after="80" w:before="80"/>
      </w:pPr>
      <w:r>
        <w:rPr>
          <w:rFonts w:ascii="Arial" w:cs="Arial" w:eastAsia="Arial" w:hAnsi="Arial"/>
          <w:color w:val="1A1A1A"/>
          <w:sz w:val="22"/>
          <w:szCs w:val="22"/>
        </w:rPr>
        <w:t xml:space="preserve">ANIMEX may communicate with Users through: in-app notifications; email to the registered email address; SMS where consented; and push notifications where enabled. Transactional communications (payment confirmations, Dispute notices, policy updates, account security notices) do not require separate marketing consent as they relate to services requested or used by the User.</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8.  Fee Schedule and Pricing Policy</w:t>
      </w:r>
    </w:p>
    <w:p>
      <w:pPr>
        <w:shd w:fill="FFF2CC" w:val="clear"/>
        <w:spacing w:after="80" w:before="80"/>
        <w:ind w:left="360" w:right="360"/>
      </w:pPr>
      <w:r>
        <w:rPr>
          <w:rFonts w:ascii="Arial" w:cs="Arial" w:eastAsia="Arial" w:hAnsi="Arial"/>
          <w:b/>
          <w:bCs/>
          <w:color w:val="7F6000"/>
          <w:sz w:val="20"/>
          <w:szCs w:val="20"/>
        </w:rPr>
        <w:t xml:space="preserve">ACTION REQUIRED: All fee amounts below are PLACEHOLDERS. ANIMEX must determine and insert all actual fee amounts, VAT treatment, and applicable thresholds before publication. Attorney and accountant review is required.</w:t>
      </w:r>
    </w:p>
    <w:p>
      <w:pPr>
        <w:pStyle w:val="Heading2"/>
        <w:spacing w:after="120" w:before="280"/>
      </w:pPr>
      <w:r>
        <w:rPr>
          <w:rFonts w:ascii="Arial" w:cs="Arial" w:eastAsia="Arial" w:hAnsi="Arial"/>
          <w:b/>
          <w:bCs/>
          <w:color w:val="1A1A1A"/>
          <w:sz w:val="26"/>
          <w:szCs w:val="26"/>
        </w:rPr>
        <w:t xml:space="preserve">8.1  Purpose</w:t>
      </w:r>
    </w:p>
    <w:p>
      <w:pPr>
        <w:spacing w:after="80" w:before="80"/>
      </w:pPr>
      <w:r>
        <w:rPr>
          <w:rFonts w:ascii="Arial" w:cs="Arial" w:eastAsia="Arial" w:hAnsi="Arial"/>
          <w:color w:val="1A1A1A"/>
          <w:sz w:val="22"/>
          <w:szCs w:val="22"/>
        </w:rPr>
        <w:t>This policy describes the fee structure applicable to Users on the ANIMEX Platform. All fees are quoted inclusive of VAT where ANIMEX is a registered VAT vendor under the VAT Act 89 of 1991. ANIMEX's VAT number: ACTION REQUIRED: confirm VAT status and insert VAT number if registered (or "Not yet registered - VAT does not apply" as applicable).</w:t>
      </w:r>
    </w:p>
    <w:p>
      <w:pPr>
        <w:pStyle w:val="Heading2"/>
        <w:spacing w:after="120" w:before="280"/>
      </w:pPr>
      <w:r>
        <w:rPr>
          <w:rFonts w:ascii="Arial" w:cs="Arial" w:eastAsia="Arial" w:hAnsi="Arial"/>
          <w:b/>
          <w:bCs/>
          <w:color w:val="1A1A1A"/>
          <w:sz w:val="26"/>
          <w:szCs w:val="26"/>
        </w:rPr>
        <w:t xml:space="preserve">8.2  Listing Fees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Fee Type</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Amount (excl. VAT unless stated)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Standard Listing (all categories)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ACTION REQUIRED: insert approved Rand amount from the live Fee Schedule or Delegations Register per Listing per ACTION REQUIRED: insert approved listing duration days, or free for ACTION REQUIRED: insert approved period from the Fee Schedule as applicable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Welfare-Verified adoption Listing</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Free for the duration of the free listing period; thereafter ACTION REQUIRED: insert approved Rand amount from the live Fee Schedule or Delegations Register per Listing</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Verified Breeder featured Listing</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ACTION REQUIRED: insert approved Rand amount from the live Fee Schedule or Delegations Register per featured Listing</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Listing renewal</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ACTION REQUIRED: insert approved Rand amount from the live Fee Schedule or Delegations Register per renewal period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Urgent or promoted Listing</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ACTION REQUIRED: insert approved Rand amount from the live Fee Schedule or Delegations Register per promotion period</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8.3  Transaction and Success Fees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Fee Type</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Amount</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Secure Checkout success fee (Seller)</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ACTION REQUIRED: insert approved percentage from the Risk Appetite Statement or Control Room configuration of transaction value, minimum ACTION REQUIRED: insert approved Rand amount from the live Fee Schedule or Delegations Register</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Secure Checkout success fee (Buyer)</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None (or ACTION REQUIRED: insert approved Rand amount from the live Fee Schedule or Delegations Register where applicable)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Adoption service fee (Buyer)</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ACTION REQUIRED: insert approved Rand amount from the live Fee Schedule or Delegations Register per adoption transaction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Adoption fee payout to Welfare Partner</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Adoption fee less ANIMEX service fee of ACTION REQUIRED: insert approved Rand amount from the live Fee Schedule or Delegations Register or ACTION REQUIRED: insert approved percentage from the Risk Appetite Statement or Control Room configuration</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8.4  Verification Fees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Verification Type</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Amount</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Standard User identity verification</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Free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Verified Breeder verification</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ACTION REQUIRED: insert approved Rand amount from the live Fee Schedule or Delegations Register one-time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Welfare organisation verification</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Free for initial verification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Vet Partner registration</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Free</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8.5  Payment Processing Fees</w:t>
      </w:r>
    </w:p>
    <w:p>
      <w:pPr>
        <w:spacing w:after="80" w:before="80"/>
      </w:pPr>
      <w:r>
        <w:rPr>
          <w:rFonts w:ascii="Arial" w:cs="Arial" w:eastAsia="Arial" w:hAnsi="Arial"/>
          <w:color w:val="1A1A1A"/>
          <w:sz w:val="22"/>
          <w:szCs w:val="22"/>
        </w:rPr>
        <w:t>Payment processing fees are set by the Payment Provider (PayFast or successor) and are passed through to the Seller at the Payment Provider's current rate. Current Payment Provider rates are available at the Payment Provider's current published pricing page. These rates are outside ANIMEX's control and may change.</w:t>
      </w:r>
    </w:p>
    <w:p>
      <w:pPr>
        <w:pStyle w:val="Heading2"/>
        <w:spacing w:after="120" w:before="280"/>
      </w:pPr>
      <w:r>
        <w:rPr>
          <w:rFonts w:ascii="Arial" w:cs="Arial" w:eastAsia="Arial" w:hAnsi="Arial"/>
          <w:b/>
          <w:bCs/>
          <w:color w:val="1A1A1A"/>
          <w:sz w:val="26"/>
          <w:szCs w:val="26"/>
        </w:rPr>
        <w:t xml:space="preserve">8.6  Payout and Withdrawal Fees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Fee Type</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Amount</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Standard payout to verified bank account</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ACTION REQUIRED: insert approved Rand amount from the live Fee Schedule or Delegations Register per payout, or free above the ACTION REQUIRED threshold configured in the Board Delegations Register and Control Room before live use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Express or same-day payout (where available)</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ACTION REQUIRED: insert approved Rand amount from the live Fee Schedule or Delegations Register per payout</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Chargeback processing fee</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ACTION REQUIRED: insert approved Rand amount from the live Fee Schedule or Delegations Register per chargeback received, charged to responsible party</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Dispute handling fee (where applicable)</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ACTION REQUIRED: insert approved Rand amount from the live Fee Schedule or Delegations Register per Dispute, charged to non-prevailing party where applicable</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8.7  Cancellation and Penalty Fees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Fee Type</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Amount</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Seller cancellation of confirmed Secure Checkout transaction</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ACTION REQUIRED: insert approved Rand amount from the live Fee Schedule or Delegations Register or ACTION REQUIRED: insert approved percentage from the Risk Appetite Statement or Control Room configuration of transaction value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Buyer cancellation after payment confirmed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ACTION REQUIRED: insert approved Rand amount from the live Fee Schedule or Delegations Register non-refundable administrative fee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Off-platform circumvention fee</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Full applicable success fee plus the penalty amount stated in the published Fee Schedule</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8.8  Fee Disclosure and Notification</w:t>
      </w:r>
    </w:p>
    <w:p>
      <w:pPr>
        <w:spacing w:after="80" w:before="80"/>
      </w:pPr>
      <w:r>
        <w:rPr>
          <w:rFonts w:ascii="Arial" w:cs="Arial" w:eastAsia="Arial" w:hAnsi="Arial"/>
          <w:color w:val="1A1A1A"/>
          <w:sz w:val="22"/>
          <w:szCs w:val="22"/>
        </w:rPr>
        <w:t xml:space="preserve">All applicable fees will be displayed to the User before commitment where reasonably possible. Where fees are based on a percentage of transaction value, the calculated amount in rand will be displayed. ANIMEX will provide at least 20 (twenty) business days' notice of any fee change to existing active Users.</w:t>
      </w:r>
    </w:p>
    <w:p>
      <w:pPr>
        <w:pStyle w:val="Heading2"/>
        <w:spacing w:after="120" w:before="280"/>
      </w:pPr>
      <w:r>
        <w:rPr>
          <w:rFonts w:ascii="Arial" w:cs="Arial" w:eastAsia="Arial" w:hAnsi="Arial"/>
          <w:b/>
          <w:bCs/>
          <w:color w:val="1A1A1A"/>
          <w:sz w:val="26"/>
          <w:szCs w:val="26"/>
        </w:rPr>
        <w:t xml:space="preserve">8.9  VAT</w:t>
      </w:r>
    </w:p>
    <w:p>
      <w:pPr>
        <w:spacing w:after="80" w:before="80"/>
      </w:pPr>
      <w:r>
        <w:rPr>
          <w:rFonts w:ascii="Arial" w:cs="Arial" w:eastAsia="Arial" w:hAnsi="Arial"/>
          <w:color w:val="1A1A1A"/>
          <w:sz w:val="22"/>
          <w:szCs w:val="22"/>
        </w:rPr>
        <w:t xml:space="preserve">All fees are inclusive of VAT at the applicable rate (currently 15%) where ANIMEX is a registered VAT vendor. ANIMEX will issue a tax invoice or fiscal document where required by the VAT Act. International or exempt transactions will be handled in accordance with the VAT Act.</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9.  Seller Onboarding Checklist</w:t>
      </w:r>
    </w:p>
    <w:p>
      <w:pPr>
        <w:spacing w:after="80" w:before="80"/>
      </w:pPr>
      <w:r>
        <w:rPr>
          <w:rFonts w:ascii="Arial" w:cs="Arial" w:eastAsia="Arial" w:hAnsi="Arial"/>
          <w:color w:val="1A1A1A"/>
          <w:sz w:val="22"/>
          <w:szCs w:val="22"/>
        </w:rPr>
        <w:t xml:space="preserve">This checklist confirms that a Seller has completed all required steps before becoming fully active on the Platform. ANIMEX may gate Listing publication, Secure Checkout access, or payout activation behind completion of the relevant steps.</w:t>
      </w:r>
    </w:p>
    <w:p>
      <w:pPr>
        <w:pStyle w:val="Heading2"/>
        <w:spacing w:after="120" w:before="280"/>
      </w:pPr>
      <w:r>
        <w:rPr>
          <w:rFonts w:ascii="Arial" w:cs="Arial" w:eastAsia="Arial" w:hAnsi="Arial"/>
          <w:b/>
          <w:bCs/>
          <w:color w:val="1A1A1A"/>
          <w:sz w:val="26"/>
          <w:szCs w:val="26"/>
        </w:rPr>
        <w:t xml:space="preserve">9.1  Account and Identity Verification</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Step</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When Required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Valid South African ID or passport uploaded and approved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Required before first Listing</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Selfie or liveness check completed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Required before first Listing</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Physical address verified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Required before payout activation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Mobile number verified via OTP</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Required for account activation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Email address verified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Required for account activation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Company registration documents (if selling as a juristic entity)</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Required for business accounts</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9.2  Banking and Payout Setup</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Step</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When Required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South African bank account details provided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Required before payout activation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Bank account ownership verified (micro-deposit or bank statement)</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Required before first payout</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Banking details confirmed as matching verified identity</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Required before first payout</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9.3  Seller Agreement and Policy Acceptance</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Step</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When Required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Seller Agreement electronically accepted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Required before Listing activation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Terms and Conditions accepted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Required at registration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Privacy Policy accepted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Required at registration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Animal Welfare Policy accepted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Required before first Listing</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Secure Checkout Policy accepted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Required before Secure Checkout activation</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9.4  Animal Category and Permit Requirements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Step</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When Required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Animal category selected and confirmed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At time of Listing creation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Required permits, licences, or certificates uploaded where applicable</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Before Listing goes live (species-dependent - see Permit Policy)</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Microchip or identification record uploaded where required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Before Listing goes live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Veterinary health record uploaded where required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Before Listing goes live for equestrian, livestock, and regulated exotic species</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9.5  Verified Breeder Additional Steps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Step</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When Required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Breed club or kennel club registration documents uploaded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Before Verified Breeder activation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Premises description and photographs submitted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Before Verified Breeder activation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Veterinary practice relationship confirmed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Before Verified Breeder activation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Municipal by-law compliance declaration completed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Before Verified Breeder activation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Verified Breeder Agreement signed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Before Verified Breeder badge activation</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9.6  Welfare Partner Additional Steps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Step</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When Required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NPO, PBO, or SPCA registration documents submitted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Before Welfare-Verified badge activation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Welfare officer details confirmed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Before Welfare-Verified badge activation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Welfare Organisation Partnership Agreement signed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Before Welfare-Verified badge activation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Animal welfare compliance declaration completed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Before Welfare-Verified badge activation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Post-adoption check-in process acknowledged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Before first adoption Listing</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9.7  Onboarding Declaration</w:t>
      </w:r>
    </w:p>
    <w:p>
      <w:pPr>
        <w:spacing w:after="80" w:before="80"/>
      </w:pPr>
      <w:r>
        <w:rPr>
          <w:rFonts w:ascii="Arial" w:cs="Arial" w:eastAsia="Arial" w:hAnsi="Arial"/>
          <w:color w:val="1A1A1A"/>
          <w:sz w:val="22"/>
          <w:szCs w:val="22"/>
        </w:rPr>
        <w:t xml:space="preserve">By completing the onboarding process, the Seller confirms:</w:t>
      </w:r>
    </w:p>
    <w:p>
      <w:pPr>
        <w:pStyle w:val="ListParagraph"/>
        <w:numPr>
          <w:ilvl w:val="0"/>
          <w:numId w:val="2"/>
        </w:numPr>
        <w:spacing w:after="40" w:before="40"/>
      </w:pPr>
      <w:r>
        <w:rPr>
          <w:rFonts w:ascii="Arial" w:cs="Arial" w:eastAsia="Arial" w:hAnsi="Arial"/>
          <w:color w:val="1A1A1A"/>
          <w:sz w:val="22"/>
          <w:szCs w:val="22"/>
        </w:rPr>
        <w:t xml:space="preserve">all information and documents provided are accurate and genuine;</w:t>
      </w:r>
    </w:p>
    <w:p>
      <w:pPr>
        <w:pStyle w:val="ListParagraph"/>
        <w:numPr>
          <w:ilvl w:val="0"/>
          <w:numId w:val="2"/>
        </w:numPr>
        <w:spacing w:after="40" w:before="40"/>
      </w:pPr>
      <w:r>
        <w:rPr>
          <w:rFonts w:ascii="Arial" w:cs="Arial" w:eastAsia="Arial" w:hAnsi="Arial"/>
          <w:color w:val="1A1A1A"/>
          <w:sz w:val="22"/>
          <w:szCs w:val="22"/>
        </w:rPr>
        <w:t xml:space="preserve">the Seller has read and accepts all required ANIMEX policies and agreements;</w:t>
      </w:r>
    </w:p>
    <w:p>
      <w:pPr>
        <w:pStyle w:val="ListParagraph"/>
        <w:numPr>
          <w:ilvl w:val="0"/>
          <w:numId w:val="2"/>
        </w:numPr>
        <w:spacing w:after="40" w:before="40"/>
      </w:pPr>
      <w:r>
        <w:rPr>
          <w:rFonts w:ascii="Arial" w:cs="Arial" w:eastAsia="Arial" w:hAnsi="Arial"/>
          <w:color w:val="1A1A1A"/>
          <w:sz w:val="22"/>
          <w:szCs w:val="22"/>
        </w:rPr>
        <w:t xml:space="preserve">the Seller accepts responsibility for maintaining compliance with all applicable animal welfare, permit, and legal obligations;</w:t>
      </w:r>
    </w:p>
    <w:p>
      <w:pPr>
        <w:pStyle w:val="ListParagraph"/>
        <w:numPr>
          <w:ilvl w:val="0"/>
          <w:numId w:val="2"/>
        </w:numPr>
        <w:spacing w:after="40" w:before="40"/>
      </w:pPr>
      <w:r>
        <w:rPr>
          <w:rFonts w:ascii="Arial" w:cs="Arial" w:eastAsia="Arial" w:hAnsi="Arial"/>
          <w:color w:val="1A1A1A"/>
          <w:sz w:val="22"/>
          <w:szCs w:val="22"/>
        </w:rPr>
        <w:t xml:space="preserve">the Seller understands that ANIMEX verification does not constitute legal certification of compliance with all applicable law;</w:t>
      </w:r>
    </w:p>
    <w:p>
      <w:pPr>
        <w:pStyle w:val="ListParagraph"/>
        <w:numPr>
          <w:ilvl w:val="0"/>
          <w:numId w:val="2"/>
        </w:numPr>
        <w:spacing w:after="40" w:before="40"/>
      </w:pPr>
      <w:r>
        <w:rPr>
          <w:rFonts w:ascii="Arial" w:cs="Arial" w:eastAsia="Arial" w:hAnsi="Arial"/>
          <w:color w:val="1A1A1A"/>
          <w:sz w:val="22"/>
          <w:szCs w:val="22"/>
        </w:rPr>
        <w:t xml:space="preserve">the Seller understands that misrepresentation during onboarding may result in account suspension, payout hold, legal action, and referral to authorities.</w:t>
      </w:r>
    </w:p>
    <w:p>
      <w:pPr>
        <w:pBdr>
          <w:bottom w:val="single" w:color="1F4E79" w:sz="6" w:space="1"/>
        </w:pBdr>
        <w:spacing w:after="200" w:before="200"/>
      </w:pPr>
      <w:r>
        <w:t xml:space="preserve"/>
      </w:r>
    </w:p>
    <w:p>
      <w:pPr>
        <w:spacing w:after="80" w:before="80"/>
      </w:pPr>
      <w:r>
        <w:rPr>
          <w:rFonts w:ascii="Arial" w:cs="Arial" w:eastAsia="Arial" w:hAnsi="Arial"/>
          <w:color w:val="1A1A1A"/>
          <w:sz w:val="22"/>
          <w:szCs w:val="22"/>
        </w:rPr>
        <w:t>ANIMEX Operational Policies Pack - Version 4.0 - Effective Date: Pending approval/publication</w:t>
      </w:r>
    </w:p>
    <w:p>
      <w:pPr>
        <w:spacing w:after="80" w:before="80"/>
      </w:pPr>
      <w:r>
        <w:rPr>
          <w:rFonts w:ascii="Arial" w:cs="Arial" w:eastAsia="Arial" w:hAnsi="Arial"/>
          <w:color w:val="1A1A1A"/>
          <w:sz w:val="22"/>
          <w:szCs w:val="22"/>
        </w:rPr>
        <w:t xml:space="preserve">This document requires qualified South African legal review before publication.</w:t>
      </w:r>
    </w:p>
    <w:p>
      <w:r>
        <w:br w:type="page"/>
      </w:r>
    </w:p>
    <w:p>
      <w:r>
        <w:t>V4 Accuracy, Factuality, and Webapp-Alignment Statement</w:t>
      </w:r>
    </w:p>
    <w:p>
      <w:r>
        <w:rPr>
          <w:b/>
          <w:sz w:val="32"/>
        </w:rPr>
        <w:t>V4 Accuracy, Factuality, and Webapp-Alignment Statement</w:t>
      </w:r>
    </w:p>
    <w:p>
      <w:r>
        <w:t>This Version 4.0 document was prepared using the supplied app reference ZIP (animexofficial-d4e558a3-main.zip) and the uploaded V3 policy packs as the baseline. It reflects the webapp structure, company configuration, categories, routes, payment-state model, Supabase/Netlify/PayFast architecture, and Control Room features visible in the ZIP as at 11 May 2026.</w:t>
      </w:r>
    </w:p>
    <w:p>
      <w:r>
        <w:t>No registered-office address, VAT number/status, Information Officer name, final fee amounts, final internal approval thresholds, insurance limits, bank-account details, or role-specific HR contract fields were present in the supplied app ZIP. Those items are marked as ACTION REQUIRED or TEMPLATE FIELD rather than invented.</w:t>
      </w:r>
    </w:p>
    <w:p>
      <w:r>
        <w:t>Where legal, tax, labour, or regulatory facts may change, this document uses checked public-source wording current for this draft and requires final review by the appropriate South African attorney, tax practitioner, labour adviser, information officer, insurer, payment provider, and technical security reviewer before production use.</w:t>
      </w:r>
    </w:p>
    <w:p>
      <w:r>
        <w:t>If the webapp implementation and this document conflict, the affected app flow must not launch until the discrepancy is resolved by updating the code, updating published app copy, or revising this document through the Control Room terms/versioning process.</w:t>
      </w:r>
    </w:p>
    <w:p>
      <w:r>
        <w:t>Webapp alignment - public operational policies</w:t>
      </w:r>
    </w:p>
    <w:p>
      <w:r>
        <w:rPr>
          <w:b/>
          <w:sz w:val="26"/>
        </w:rPr>
        <w:t>Webapp alignment - public operational policies</w:t>
      </w:r>
    </w:p>
    <w:p>
      <w:r>
        <w:t>- Operational policies align to app routes and features: public legal pages, seller onboarding, dashboard order/payment flow, adoption applications, verification hub, and Control Room moderation/payments/terms tools.</w:t>
      </w:r>
    </w:p>
    <w:p>
      <w:r>
        <w:t>- Animal transport and permit rules are mapped to the actual category/species model in src/config/categories.ts, including Pets for Sale, Livestock &amp; Horses, Hunting Animals, and Adoptions.</w:t>
      </w:r>
    </w:p>
    <w:p>
      <w:r>
        <w:t>- The Fee Schedule remains action-required because final platform fees, boost prices, listing-fee amounts, adoption service fees, payout thresholds, and penalties are not fully inferable from the supplied ZIP. Fees must be configured consistently in platform_config and the published Fee Schedule before launch.</w:t>
      </w:r>
    </w:p>
    <w:p>
      <w:r>
        <w:t>- Chargeback policy now distinguishes app-level disputes from bank/card chargebacks and aligns to PayFast/Payment Provider determination and evidence processes.</w:t>
      </w:r>
    </w:p>
    <w:sectPr>
      <w:footerReference w:type="default" r:id="rId7"/>
      <w:headerReference w:type="default" r:id="rId9"/>
      <w:headerReference w:type="first" r:id="rId10"/>
      <w:footerReference w:type="first" r:id="rId11"/>
      <w:headerReference w:type="even" r:id="rId12"/>
      <w:footerReference w:type="even" r:id="rId13"/>
      <w:pgSz w:w="11906" w:h="16838" w:orient="portrait"/>
      <w:pgMar w:top="1008" w:right="1008" w:bottom="1008" w:left="100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rPr>
      <w:t>ANIMEX Version 4.0 - Webapp-aligned draft - 11 May 2026 - Attorney/tax/security review required before launch</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lowerLetter"/>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400"/>
      <w:outlineLvl w:val="0"/>
    </w:pPr>
    <w:rPr>
      <w:rFonts w:ascii="Arial" w:cs="Arial" w:eastAsia="Arial" w:hAnsi="Arial"/>
      <w:b/>
      <w:bCs/>
      <w:color w:val="1F4E79"/>
      <w:sz w:val="32"/>
      <w:szCs w:val="32"/>
    </w:rPr>
  </w:style>
  <w:style w:type="paragraph" w:styleId="Heading2">
    <w:name w:val="Heading 2"/>
    <w:basedOn w:val="Normal"/>
    <w:next w:val="Normal"/>
    <w:qFormat/>
    <w:pPr>
      <w:spacing w:after="120" w:before="280"/>
      <w:outlineLvl w:val="1"/>
    </w:pPr>
    <w:rPr>
      <w:rFonts w:ascii="Arial" w:cs="Arial" w:eastAsia="Arial" w:hAnsi="Arial"/>
      <w:b/>
      <w:bCs/>
      <w:color w:val="1A1A1A"/>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OpenAI for ANIMEX</dc:creator>
  <cp:lastModifiedBy>Un-named</cp:lastModifiedBy>
  <cp:revision>1</cp:revision>
  <dcterms:created xsi:type="dcterms:W3CDTF">2026-05-05T20:36:40.927Z</dcterms:created>
  <dcterms:modified xsi:type="dcterms:W3CDTF">2026-05-05T20:36:40.929Z</dcterms:modified>
  <dc:title>ANIMEX Operational Policies Pack v4</dc:title>
  <dc:subject>ANIMEX Version 4.0 webapp-aligned legal and control pack</dc:subject>
  <dc:description>Generated from user-provided V3 DOCX files and app ZIP. Review required before publication.</dc:description>
  <cp:keywords>ANIMEX, legal, policy, South Africa, POPIA, PayFast, Supabase, marketplace</cp:keywords>
</cp:coreProperties>
</file>

<file path=docProps/custom.xml><?xml version="1.0" encoding="utf-8"?>
<Properties xmlns="http://schemas.openxmlformats.org/officeDocument/2006/custom-properties" xmlns:vt="http://schemas.openxmlformats.org/officeDocument/2006/docPropsVTypes"/>
</file>