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jc w:val="center"/>
      </w:pPr>
      <w:r>
        <w:rPr>
          <w:rFonts w:ascii="Arial" w:cs="Arial" w:eastAsia="Arial" w:hAnsi="Arial"/>
          <w:b/>
          <w:bCs/>
          <w:color w:val="1F4E79"/>
          <w:sz w:val="72"/>
          <w:szCs w:val="72"/>
        </w:rPr>
        <w:t xml:space="preserve">ANIMEX</w:t>
      </w:r>
    </w:p>
    <w:p>
      <w:pPr>
        <w:spacing w:after="80" w:before="0"/>
        <w:jc w:val="center"/>
      </w:pPr>
      <w:r>
        <w:rPr>
          <w:rFonts w:ascii="Arial" w:cs="Arial" w:eastAsia="Arial" w:hAnsi="Arial"/>
          <w:b/>
          <w:bCs/>
          <w:color w:val="1A1A1A"/>
          <w:sz w:val="40"/>
          <w:szCs w:val="40"/>
        </w:rPr>
        <w:t xml:space="preserve">GOVERNANCE &amp; RISK PACK</w:t>
      </w:r>
    </w:p>
    <w:p>
      <w:pPr>
        <w:spacing w:after="60" w:before="0"/>
        <w:jc w:val="center"/>
      </w:pPr>
      <w:r>
        <w:rPr>
          <w:rFonts w:ascii="Arial" w:cs="Arial" w:eastAsia="Arial" w:hAnsi="Arial"/>
          <w:i/>
          <w:iCs/>
          <w:color w:val="595959"/>
          <w:sz w:val="22"/>
          <w:szCs w:val="22"/>
        </w:rPr>
        <w:t xml:space="preserve">BCP/DR · Vendor Risk · Anti-Bribery · Conflicts of Interest · Regulatory Response · Insurance</w:t>
      </w:r>
    </w:p>
    <w:p>
      <w:pPr>
        <w:spacing w:after="60" w:before="0"/>
        <w:jc w:val="center"/>
      </w:pPr>
      <w:r>
        <w:rPr>
          <w:rFonts w:ascii="Arial" w:cs="Arial" w:eastAsia="Arial" w:hAnsi="Arial"/>
          <w:color w:val="595959"/>
          <w:sz w:val="20"/>
          <w:szCs w:val="20"/>
        </w:rPr>
        <w:t>animexofficial.co.za  |  Version 4.0  |  Effective Date: Pending approval/publication</w:t>
      </w:r>
    </w:p>
    <w:p>
      <w:pPr>
        <w:shd w:fill="FFF2CC" w:val="clear"/>
        <w:spacing w:after="80" w:before="80"/>
        <w:ind w:left="360" w:right="360"/>
      </w:pPr>
      <w:r>
        <w:rPr>
          <w:rFonts w:ascii="Arial" w:cs="Arial" w:eastAsia="Arial" w:hAnsi="Arial"/>
          <w:b/>
          <w:bCs/>
          <w:color w:val="7F6000"/>
          <w:sz w:val="20"/>
          <w:szCs w:val="20"/>
        </w:rPr>
        <w:t>ACTION REQUIRED: This Version 4.0 webapp-aligned draft must be approved through ANIMEX's legal, tax, security, and Control Room terms-versioning workflow before public use or contract execution.</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1.  Business Continuity and Disaster Recovery Policy</w:t>
      </w:r>
    </w:p>
    <w:p>
      <w:pPr>
        <w:pStyle w:val="Heading2"/>
        <w:spacing w:after="120" w:before="280"/>
      </w:pPr>
      <w:r>
        <w:rPr>
          <w:rFonts w:ascii="Arial" w:cs="Arial" w:eastAsia="Arial" w:hAnsi="Arial"/>
          <w:b/>
          <w:bCs/>
          <w:color w:val="1A1A1A"/>
          <w:sz w:val="26"/>
          <w:szCs w:val="26"/>
        </w:rPr>
        <w:t xml:space="preserve">1.1  Purpose and Scope</w:t>
      </w:r>
    </w:p>
    <w:p>
      <w:pPr>
        <w:spacing w:after="80" w:before="80"/>
      </w:pPr>
      <w:r>
        <w:rPr>
          <w:rFonts w:ascii="Arial" w:cs="Arial" w:eastAsia="Arial" w:hAnsi="Arial"/>
          <w:color w:val="1A1A1A"/>
          <w:sz w:val="22"/>
          <w:szCs w:val="22"/>
        </w:rPr>
        <w:t xml:space="preserve">This policy establishes ANIMEX's framework for maintaining critical Platform operations during disruptions and for recovering those operations following a disaster. It applies to all systems, processes, personnel, and third-party dependencies that support the ANIMEX Platform, Secure Checkout, User data, and payment operations.</w:t>
      </w:r>
    </w:p>
    <w:p>
      <w:pPr>
        <w:spacing w:after="80" w:before="80"/>
      </w:pPr>
      <w:r>
        <w:rPr>
          <w:rFonts w:ascii="Arial" w:cs="Arial" w:eastAsia="Arial" w:hAnsi="Arial"/>
          <w:color w:val="1A1A1A"/>
          <w:sz w:val="22"/>
          <w:szCs w:val="22"/>
        </w:rPr>
        <w:t xml:space="preserve">This policy is read together with the Data Breach Response Plan (Compliance Pack, Section 5) and the Platform Incident Response Policy (this pack, Section 6).</w:t>
      </w:r>
    </w:p>
    <w:p>
      <w:pPr>
        <w:pStyle w:val="Heading2"/>
        <w:spacing w:after="120" w:before="280"/>
      </w:pPr>
      <w:r>
        <w:rPr>
          <w:rFonts w:ascii="Arial" w:cs="Arial" w:eastAsia="Arial" w:hAnsi="Arial"/>
          <w:b/>
          <w:bCs/>
          <w:color w:val="1A1A1A"/>
          <w:sz w:val="26"/>
          <w:szCs w:val="26"/>
        </w:rPr>
        <w:t xml:space="preserve">1.2  Business Impact Analysis</w:t>
      </w:r>
    </w:p>
    <w:p>
      <w:pPr>
        <w:spacing w:after="80" w:before="80"/>
      </w:pPr>
      <w:r>
        <w:rPr>
          <w:rFonts w:ascii="Arial" w:cs="Arial" w:eastAsia="Arial" w:hAnsi="Arial"/>
          <w:color w:val="1A1A1A"/>
          <w:sz w:val="22"/>
          <w:szCs w:val="22"/>
        </w:rPr>
        <w:t xml:space="preserve">The following systems and processes are classified by criticality:</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2800"/>
        <w:gridCol w:w="3826"/>
      </w:tblGrid>
      <w:tr>
        <w:tc>
          <w:tcPr>
            <w:tcW w:type="dxa" w:w="24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System / Process</w:t>
            </w:r>
          </w:p>
        </w:tc>
        <w:tc>
          <w:tcPr>
            <w:tcW w:type="dxa" w:w="28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Criticality</w:t>
            </w:r>
          </w:p>
        </w:tc>
        <w:tc>
          <w:tcPr>
            <w:tcW w:type="dxa" w:w="38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Recovery Objective</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Platform availability (website and app)</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Critical</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Maximum Tolerable Downtime (MTD): 4 hours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Secure Checkout and payment flows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Critical</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MTD: 2 hours - affects User funds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User authentication and account access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Critical</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MTD: 4 hours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Listing creation and search</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High</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MTD: 8 hours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Messaging and communications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High</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MTD: 8 hours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Admin console and moderation tools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High</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MTD: 24 hours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Dispute management system</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High</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MTD: 24 hours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Payout processing</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Critical</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MTD: 4 hours - direct User financial impact</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Email and notification delivery</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Medium</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MTD: 24 hours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Analytics and reporting</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Low</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MTD: 72 hours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Audit logs and compliance records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Critical</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Must not be lost - backup within 1 hour</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POPIA and personal information records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Critical</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Must not be lost - backup within 1 hour</w:t>
            </w:r>
          </w:p>
        </w:tc>
      </w:tr>
    </w:tbl>
    <w:p>
      <w:pPr>
        <w:spacing w:after="60" w:before="60"/>
      </w:pPr>
      <w:r>
        <w:t xml:space="preserve"/>
      </w:r>
    </w:p>
    <w:p>
      <w:pPr>
        <w:pStyle w:val="Heading2"/>
        <w:spacing w:after="120" w:before="280"/>
      </w:pPr>
      <w:r>
        <w:rPr>
          <w:rFonts w:ascii="Arial" w:cs="Arial" w:eastAsia="Arial" w:hAnsi="Arial"/>
          <w:b/>
          <w:bCs/>
          <w:color w:val="1A1A1A"/>
          <w:sz w:val="26"/>
          <w:szCs w:val="26"/>
        </w:rPr>
        <w:t xml:space="preserve">1.3  Recovery Time and Point Objectives</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Objective</w:t>
            </w:r>
          </w:p>
        </w:tc>
        <w:tc>
          <w:tcPr>
            <w:tcW w:type="dxa" w:w="60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Target</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Recovery Time Objective (RTO) - Critical systems</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4 hours from confirmed outage</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Recovery Time Objective (RTO) - High systems</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24 hours from confirmed outage</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Recovery Point Objective (RPO) - Transaction and payment data</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Maximum 1-hour data loss</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Recovery Point Objective (RPO) - User account and personal information data</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Maximum 1-hour data loss</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Recovery Point Objective (RPO) - Audit logs</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Maximum 15-minute data loss</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Recovery Point Objective (RPO) - Listing and Content data</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Maximum 4-hour data loss</w:t>
            </w:r>
          </w:p>
        </w:tc>
      </w:tr>
    </w:tbl>
    <w:p>
      <w:pPr>
        <w:spacing w:after="60" w:before="60"/>
      </w:pPr>
      <w:r>
        <w:t xml:space="preserve"/>
      </w:r>
    </w:p>
    <w:p>
      <w:pPr>
        <w:shd w:fill="EEF4FB" w:val="clear"/>
        <w:spacing w:after="80" w:before="80"/>
        <w:ind w:left="360" w:right="360"/>
      </w:pPr>
      <w:r>
        <w:rPr>
          <w:rFonts w:ascii="Arial" w:cs="Arial" w:eastAsia="Arial" w:hAnsi="Arial"/>
          <w:i/>
          <w:iCs/>
          <w:color w:val="2F5496"/>
          <w:sz w:val="20"/>
          <w:szCs w:val="20"/>
        </w:rPr>
        <w:t xml:space="preserve">INTERNAL NOTE: RTO and RPO targets must be validated against ANIMEX's actual infrastructure (Netlify, Supabase, and PayFast). Review with CTO before finalising.</w:t>
      </w:r>
    </w:p>
    <w:p>
      <w:pPr>
        <w:pStyle w:val="Heading2"/>
        <w:spacing w:after="120" w:before="280"/>
      </w:pPr>
      <w:r>
        <w:rPr>
          <w:rFonts w:ascii="Arial" w:cs="Arial" w:eastAsia="Arial" w:hAnsi="Arial"/>
          <w:b/>
          <w:bCs/>
          <w:color w:val="1A1A1A"/>
          <w:sz w:val="26"/>
          <w:szCs w:val="26"/>
        </w:rPr>
        <w:t xml:space="preserve">1.4  Threat and Disruption Scenarios</w:t>
      </w:r>
    </w:p>
    <w:p>
      <w:pPr>
        <w:spacing w:after="80" w:before="80"/>
      </w:pPr>
      <w:r>
        <w:rPr>
          <w:rFonts w:ascii="Arial" w:cs="Arial" w:eastAsia="Arial" w:hAnsi="Arial"/>
          <w:color w:val="1A1A1A"/>
          <w:sz w:val="22"/>
          <w:szCs w:val="22"/>
        </w:rPr>
        <w:t xml:space="preserve">This policy applies to the following disruption scenarios:</w:t>
      </w:r>
    </w:p>
    <w:p>
      <w:pPr>
        <w:pStyle w:val="ListParagraph"/>
        <w:numPr>
          <w:ilvl w:val="0"/>
          <w:numId w:val="2"/>
        </w:numPr>
        <w:spacing w:after="40" w:before="40"/>
      </w:pPr>
      <w:r>
        <w:rPr>
          <w:rFonts w:ascii="Arial" w:cs="Arial" w:eastAsia="Arial" w:hAnsi="Arial"/>
          <w:color w:val="1A1A1A"/>
          <w:sz w:val="22"/>
          <w:szCs w:val="22"/>
        </w:rPr>
        <w:t xml:space="preserve">Platform hosting or CDN outage (Netlify or equivalent);</w:t>
      </w:r>
    </w:p>
    <w:p>
      <w:pPr>
        <w:pStyle w:val="ListParagraph"/>
        <w:numPr>
          <w:ilvl w:val="0"/>
          <w:numId w:val="2"/>
        </w:numPr>
        <w:spacing w:after="40" w:before="40"/>
      </w:pPr>
      <w:r>
        <w:rPr>
          <w:rFonts w:ascii="Arial" w:cs="Arial" w:eastAsia="Arial" w:hAnsi="Arial"/>
          <w:color w:val="1A1A1A"/>
          <w:sz w:val="22"/>
          <w:szCs w:val="22"/>
        </w:rPr>
        <w:t xml:space="preserve">Database outage or corruption (Supabase PostgreSQL or equivalent);</w:t>
      </w:r>
    </w:p>
    <w:p>
      <w:pPr>
        <w:pStyle w:val="ListParagraph"/>
        <w:numPr>
          <w:ilvl w:val="0"/>
          <w:numId w:val="2"/>
        </w:numPr>
        <w:spacing w:after="40" w:before="40"/>
      </w:pPr>
      <w:r>
        <w:rPr>
          <w:rFonts w:ascii="Arial" w:cs="Arial" w:eastAsia="Arial" w:hAnsi="Arial"/>
          <w:color w:val="1A1A1A"/>
          <w:sz w:val="22"/>
          <w:szCs w:val="22"/>
        </w:rPr>
        <w:t xml:space="preserve">Payment Provider outage or payment processing failure (PayFast);</w:t>
      </w:r>
    </w:p>
    <w:p>
      <w:pPr>
        <w:pStyle w:val="ListParagraph"/>
        <w:numPr>
          <w:ilvl w:val="0"/>
          <w:numId w:val="2"/>
        </w:numPr>
        <w:spacing w:after="40" w:before="40"/>
      </w:pPr>
      <w:r>
        <w:rPr>
          <w:rFonts w:ascii="Arial" w:cs="Arial" w:eastAsia="Arial" w:hAnsi="Arial"/>
          <w:color w:val="1A1A1A"/>
          <w:sz w:val="22"/>
          <w:szCs w:val="22"/>
        </w:rPr>
        <w:t>Cyberattack - ransomware, DDoS, credential compromise, or data exfiltration;</w:t>
      </w:r>
    </w:p>
    <w:p>
      <w:pPr>
        <w:pStyle w:val="ListParagraph"/>
        <w:numPr>
          <w:ilvl w:val="0"/>
          <w:numId w:val="2"/>
        </w:numPr>
        <w:spacing w:after="40" w:before="40"/>
      </w:pPr>
      <w:r>
        <w:rPr>
          <w:rFonts w:ascii="Arial" w:cs="Arial" w:eastAsia="Arial" w:hAnsi="Arial"/>
          <w:color w:val="1A1A1A"/>
          <w:sz w:val="22"/>
          <w:szCs w:val="22"/>
        </w:rPr>
        <w:t xml:space="preserve">Supabase Edge Function failure affecting Secure Checkout or data processing;</w:t>
      </w:r>
    </w:p>
    <w:p>
      <w:pPr>
        <w:pStyle w:val="ListParagraph"/>
        <w:numPr>
          <w:ilvl w:val="0"/>
          <w:numId w:val="2"/>
        </w:numPr>
        <w:spacing w:after="40" w:before="40"/>
      </w:pPr>
      <w:r>
        <w:rPr>
          <w:rFonts w:ascii="Arial" w:cs="Arial" w:eastAsia="Arial" w:hAnsi="Arial"/>
          <w:color w:val="1A1A1A"/>
          <w:sz w:val="22"/>
          <w:szCs w:val="22"/>
        </w:rPr>
        <w:t xml:space="preserve">DNS hijacking or domain-level compromise;</w:t>
      </w:r>
    </w:p>
    <w:p>
      <w:pPr>
        <w:pStyle w:val="ListParagraph"/>
        <w:numPr>
          <w:ilvl w:val="0"/>
          <w:numId w:val="2"/>
        </w:numPr>
        <w:spacing w:after="40" w:before="40"/>
      </w:pPr>
      <w:r>
        <w:rPr>
          <w:rFonts w:ascii="Arial" w:cs="Arial" w:eastAsia="Arial" w:hAnsi="Arial"/>
          <w:color w:val="1A1A1A"/>
          <w:sz w:val="22"/>
          <w:szCs w:val="22"/>
        </w:rPr>
        <w:t xml:space="preserve">Loss of key personnel (CTO, Information Officer, CEO);</w:t>
      </w:r>
    </w:p>
    <w:p>
      <w:pPr>
        <w:pStyle w:val="ListParagraph"/>
        <w:numPr>
          <w:ilvl w:val="0"/>
          <w:numId w:val="2"/>
        </w:numPr>
        <w:spacing w:after="40" w:before="40"/>
      </w:pPr>
      <w:r>
        <w:rPr>
          <w:rFonts w:ascii="Arial" w:cs="Arial" w:eastAsia="Arial" w:hAnsi="Arial"/>
          <w:color w:val="1A1A1A"/>
          <w:sz w:val="22"/>
          <w:szCs w:val="22"/>
        </w:rPr>
        <w:t xml:space="preserve">South African internet infrastructure disruption (Eskom load-shedding impact on connectivity or data centre);</w:t>
      </w:r>
    </w:p>
    <w:p>
      <w:pPr>
        <w:pStyle w:val="ListParagraph"/>
        <w:numPr>
          <w:ilvl w:val="0"/>
          <w:numId w:val="2"/>
        </w:numPr>
        <w:spacing w:after="40" w:before="40"/>
      </w:pPr>
      <w:r>
        <w:rPr>
          <w:rFonts w:ascii="Arial" w:cs="Arial" w:eastAsia="Arial" w:hAnsi="Arial"/>
          <w:color w:val="1A1A1A"/>
          <w:sz w:val="22"/>
          <w:szCs w:val="22"/>
        </w:rPr>
        <w:t xml:space="preserve">Third-party operator outage (email provider, identity verification provider, analytics tool);</w:t>
      </w:r>
    </w:p>
    <w:p>
      <w:pPr>
        <w:pStyle w:val="ListParagraph"/>
        <w:numPr>
          <w:ilvl w:val="0"/>
          <w:numId w:val="2"/>
        </w:numPr>
        <w:spacing w:after="40" w:before="40"/>
      </w:pPr>
      <w:r>
        <w:rPr>
          <w:rFonts w:ascii="Arial" w:cs="Arial" w:eastAsia="Arial" w:hAnsi="Arial"/>
          <w:color w:val="1A1A1A"/>
          <w:sz w:val="22"/>
          <w:szCs w:val="22"/>
        </w:rPr>
        <w:t xml:space="preserve">Force Majeure Events as defined in the Terms and Conditions.</w:t>
      </w:r>
    </w:p>
    <w:p>
      <w:pPr>
        <w:pStyle w:val="Heading2"/>
        <w:spacing w:after="120" w:before="280"/>
      </w:pPr>
      <w:r>
        <w:rPr>
          <w:rFonts w:ascii="Arial" w:cs="Arial" w:eastAsia="Arial" w:hAnsi="Arial"/>
          <w:b/>
          <w:bCs/>
          <w:color w:val="1A1A1A"/>
          <w:sz w:val="26"/>
          <w:szCs w:val="26"/>
        </w:rPr>
        <w:t xml:space="preserve">1.5  Incident Response Triggers</w:t>
      </w:r>
    </w:p>
    <w:p>
      <w:pPr>
        <w:spacing w:after="80" w:before="80"/>
      </w:pPr>
      <w:r>
        <w:rPr>
          <w:rFonts w:ascii="Arial" w:cs="Arial" w:eastAsia="Arial" w:hAnsi="Arial"/>
          <w:color w:val="1A1A1A"/>
          <w:sz w:val="22"/>
          <w:szCs w:val="22"/>
        </w:rPr>
        <w:t xml:space="preserve">This BCP is activated when any of the following thresholds are met:</w:t>
      </w:r>
    </w:p>
    <w:p>
      <w:pPr>
        <w:pStyle w:val="ListParagraph"/>
        <w:numPr>
          <w:ilvl w:val="0"/>
          <w:numId w:val="2"/>
        </w:numPr>
        <w:spacing w:after="40" w:before="40"/>
      </w:pPr>
      <w:r>
        <w:rPr>
          <w:rFonts w:ascii="Arial" w:cs="Arial" w:eastAsia="Arial" w:hAnsi="Arial"/>
          <w:color w:val="1A1A1A"/>
          <w:sz w:val="22"/>
          <w:szCs w:val="22"/>
        </w:rPr>
        <w:t xml:space="preserve">Any Critical system is unavailable for more than 30 (thirty) minutes without a known cause and confirmed resolution timeline;</w:t>
      </w:r>
    </w:p>
    <w:p>
      <w:pPr>
        <w:pStyle w:val="ListParagraph"/>
        <w:numPr>
          <w:ilvl w:val="0"/>
          <w:numId w:val="2"/>
        </w:numPr>
        <w:spacing w:after="40" w:before="40"/>
      </w:pPr>
      <w:r>
        <w:rPr>
          <w:rFonts w:ascii="Arial" w:cs="Arial" w:eastAsia="Arial" w:hAnsi="Arial"/>
          <w:color w:val="1A1A1A"/>
          <w:sz w:val="22"/>
          <w:szCs w:val="22"/>
        </w:rPr>
        <w:t xml:space="preserve">Any payment flow is degraded for more than 15 (fifteen) minutes;</w:t>
      </w:r>
    </w:p>
    <w:p>
      <w:pPr>
        <w:pStyle w:val="ListParagraph"/>
        <w:numPr>
          <w:ilvl w:val="0"/>
          <w:numId w:val="2"/>
        </w:numPr>
        <w:spacing w:after="40" w:before="40"/>
      </w:pPr>
      <w:r>
        <w:rPr>
          <w:rFonts w:ascii="Arial" w:cs="Arial" w:eastAsia="Arial" w:hAnsi="Arial"/>
          <w:color w:val="1A1A1A"/>
          <w:sz w:val="22"/>
          <w:szCs w:val="22"/>
        </w:rPr>
        <w:t xml:space="preserve">A P1 or P2 security incident is declared under the Data Breach Response Plan;</w:t>
      </w:r>
    </w:p>
    <w:p>
      <w:pPr>
        <w:pStyle w:val="ListParagraph"/>
        <w:numPr>
          <w:ilvl w:val="0"/>
          <w:numId w:val="2"/>
        </w:numPr>
        <w:spacing w:after="40" w:before="40"/>
      </w:pPr>
      <w:r>
        <w:rPr>
          <w:rFonts w:ascii="Arial" w:cs="Arial" w:eastAsia="Arial" w:hAnsi="Arial"/>
          <w:color w:val="1A1A1A"/>
          <w:sz w:val="22"/>
          <w:szCs w:val="22"/>
        </w:rPr>
        <w:t xml:space="preserve">The CEO, CTO, or Information Officer declares a BCP incident.</w:t>
      </w:r>
    </w:p>
    <w:p>
      <w:pPr>
        <w:pStyle w:val="Heading2"/>
        <w:spacing w:after="120" w:before="280"/>
      </w:pPr>
      <w:r>
        <w:rPr>
          <w:rFonts w:ascii="Arial" w:cs="Arial" w:eastAsia="Arial" w:hAnsi="Arial"/>
          <w:b/>
          <w:bCs/>
          <w:color w:val="1A1A1A"/>
          <w:sz w:val="26"/>
          <w:szCs w:val="26"/>
        </w:rPr>
        <w:t xml:space="preserve">1.6  Business Continuity Response Team</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Role</w:t>
            </w:r>
          </w:p>
        </w:tc>
        <w:tc>
          <w:tcPr>
            <w:tcW w:type="dxa" w:w="60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Responsibility</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Incident Commander</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CEO - overall decision authority, external communications lead</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Technical Lead</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CTO / Lead Developer - infrastructure recovery, system restoration</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Communications Lead</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CEO or designated person - User, partner, and regulatory communications</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Information Officer</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POPIA compliance oversight, regulatory notification if data affected</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Payment Operations</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Finance lead - Payment Provider liaison, payout hold decisions</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Legal Adviser</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External SA attorney - legal exposure, regulator communications, contractual obligations</w:t>
            </w:r>
          </w:p>
        </w:tc>
      </w:tr>
    </w:tbl>
    <w:p>
      <w:pPr>
        <w:spacing w:after="60" w:before="60"/>
      </w:pPr>
      <w:r>
        <w:t xml:space="preserve"/>
      </w:r>
    </w:p>
    <w:p>
      <w:pPr>
        <w:pStyle w:val="Heading2"/>
        <w:spacing w:after="120" w:before="280"/>
      </w:pPr>
      <w:r>
        <w:rPr>
          <w:rFonts w:ascii="Arial" w:cs="Arial" w:eastAsia="Arial" w:hAnsi="Arial"/>
          <w:b/>
          <w:bCs/>
          <w:color w:val="1A1A1A"/>
          <w:sz w:val="26"/>
          <w:szCs w:val="26"/>
        </w:rPr>
        <w:t xml:space="preserve">1.7  Critical Contact Register</w:t>
      </w:r>
    </w:p>
    <w:p>
      <w:pPr>
        <w:spacing w:after="80" w:before="80"/>
      </w:pPr>
      <w:r>
        <w:rPr>
          <w:rFonts w:ascii="Arial" w:cs="Arial" w:eastAsia="Arial" w:hAnsi="Arial"/>
          <w:color w:val="1A1A1A"/>
          <w:sz w:val="22"/>
          <w:szCs w:val="22"/>
        </w:rPr>
        <w:t xml:space="preserve">ANIMEX must maintain an up-to-date critical contact register, including:</w:t>
      </w:r>
    </w:p>
    <w:p>
      <w:pPr>
        <w:pStyle w:val="ListParagraph"/>
        <w:numPr>
          <w:ilvl w:val="0"/>
          <w:numId w:val="2"/>
        </w:numPr>
        <w:spacing w:after="40" w:before="40"/>
      </w:pPr>
      <w:r>
        <w:rPr>
          <w:rFonts w:ascii="Arial" w:cs="Arial" w:eastAsia="Arial" w:hAnsi="Arial"/>
          <w:color w:val="1A1A1A"/>
          <w:sz w:val="22"/>
          <w:szCs w:val="22"/>
        </w:rPr>
        <w:t xml:space="preserve">Netlify support contacts and escalation paths;</w:t>
      </w:r>
    </w:p>
    <w:p>
      <w:pPr>
        <w:pStyle w:val="ListParagraph"/>
        <w:numPr>
          <w:ilvl w:val="0"/>
          <w:numId w:val="2"/>
        </w:numPr>
        <w:spacing w:after="40" w:before="40"/>
      </w:pPr>
      <w:r>
        <w:rPr>
          <w:rFonts w:ascii="Arial" w:cs="Arial" w:eastAsia="Arial" w:hAnsi="Arial"/>
          <w:color w:val="1A1A1A"/>
          <w:sz w:val="22"/>
          <w:szCs w:val="22"/>
        </w:rPr>
        <w:t xml:space="preserve">Supabase support contacts and escalation paths;</w:t>
      </w:r>
    </w:p>
    <w:p>
      <w:pPr>
        <w:pStyle w:val="ListParagraph"/>
        <w:numPr>
          <w:ilvl w:val="0"/>
          <w:numId w:val="2"/>
        </w:numPr>
        <w:spacing w:after="40" w:before="40"/>
      </w:pPr>
      <w:r>
        <w:rPr>
          <w:rFonts w:ascii="Arial" w:cs="Arial" w:eastAsia="Arial" w:hAnsi="Arial"/>
          <w:color w:val="1A1A1A"/>
          <w:sz w:val="22"/>
          <w:szCs w:val="22"/>
        </w:rPr>
        <w:t xml:space="preserve">PayFast support and merchant emergency contacts;</w:t>
      </w:r>
    </w:p>
    <w:p>
      <w:pPr>
        <w:pStyle w:val="ListParagraph"/>
        <w:numPr>
          <w:ilvl w:val="0"/>
          <w:numId w:val="2"/>
        </w:numPr>
        <w:spacing w:after="40" w:before="40"/>
      </w:pPr>
      <w:r>
        <w:rPr>
          <w:rFonts w:ascii="Arial" w:cs="Arial" w:eastAsia="Arial" w:hAnsi="Arial"/>
          <w:color w:val="1A1A1A"/>
          <w:sz w:val="22"/>
          <w:szCs w:val="22"/>
        </w:rPr>
        <w:t xml:space="preserve">Domain registrar and DNS provider emergency contacts;</w:t>
      </w:r>
    </w:p>
    <w:p>
      <w:pPr>
        <w:pStyle w:val="ListParagraph"/>
        <w:numPr>
          <w:ilvl w:val="0"/>
          <w:numId w:val="2"/>
        </w:numPr>
        <w:spacing w:after="40" w:before="40"/>
      </w:pPr>
      <w:r>
        <w:rPr>
          <w:rFonts w:ascii="Arial" w:cs="Arial" w:eastAsia="Arial" w:hAnsi="Arial"/>
          <w:color w:val="1A1A1A"/>
          <w:sz w:val="22"/>
          <w:szCs w:val="22"/>
        </w:rPr>
        <w:t xml:space="preserve">South African Cyber Security Hub (CSIRT): www.cybersecurityhub.gov.za;</w:t>
      </w:r>
    </w:p>
    <w:p>
      <w:pPr>
        <w:pStyle w:val="ListParagraph"/>
        <w:numPr>
          <w:ilvl w:val="0"/>
          <w:numId w:val="2"/>
        </w:numPr>
        <w:spacing w:after="40" w:before="40"/>
      </w:pPr>
      <w:r>
        <w:rPr>
          <w:rFonts w:ascii="Arial" w:cs="Arial" w:eastAsia="Arial" w:hAnsi="Arial"/>
          <w:color w:val="1A1A1A"/>
          <w:sz w:val="22"/>
          <w:szCs w:val="22"/>
        </w:rPr>
        <w:t xml:space="preserve">Information Regulator of South Africa: 010 023 5200 / inforeg@justice.gov.za;</w:t>
      </w:r>
    </w:p>
    <w:p>
      <w:pPr>
        <w:pStyle w:val="ListParagraph"/>
        <w:numPr>
          <w:ilvl w:val="0"/>
          <w:numId w:val="2"/>
        </w:numPr>
        <w:spacing w:after="40" w:before="40"/>
      </w:pPr>
      <w:r>
        <w:rPr>
          <w:rFonts w:ascii="Arial" w:cs="Arial" w:eastAsia="Arial" w:hAnsi="Arial"/>
          <w:color w:val="1A1A1A"/>
          <w:sz w:val="22"/>
          <w:szCs w:val="22"/>
        </w:rPr>
        <w:t xml:space="preserve">ANIMEX's external legal adviser;</w:t>
      </w:r>
    </w:p>
    <w:p>
      <w:pPr>
        <w:pStyle w:val="ListParagraph"/>
        <w:numPr>
          <w:ilvl w:val="0"/>
          <w:numId w:val="2"/>
        </w:numPr>
        <w:spacing w:after="40" w:before="40"/>
      </w:pPr>
      <w:r>
        <w:rPr>
          <w:rFonts w:ascii="Arial" w:cs="Arial" w:eastAsia="Arial" w:hAnsi="Arial"/>
          <w:color w:val="1A1A1A"/>
          <w:sz w:val="22"/>
          <w:szCs w:val="22"/>
        </w:rPr>
        <w:t xml:space="preserve">All key Staff personal contact details (mobile numbers) held offline.</w:t>
      </w:r>
    </w:p>
    <w:p>
      <w:pPr>
        <w:shd w:fill="FFF2CC" w:val="clear"/>
        <w:spacing w:after="80" w:before="80"/>
        <w:ind w:left="360" w:right="360"/>
      </w:pPr>
      <w:r>
        <w:rPr>
          <w:rFonts w:ascii="Arial" w:cs="Arial" w:eastAsia="Arial" w:hAnsi="Arial"/>
          <w:b/>
          <w:bCs/>
          <w:color w:val="7F6000"/>
          <w:sz w:val="20"/>
          <w:szCs w:val="20"/>
        </w:rPr>
        <w:t xml:space="preserve">ACTION REQUIRED: The contact register must be stored offline (printed and secured) and updated quarterly. It must be accessible without Platform access in the event of a full system outage.</w:t>
      </w:r>
    </w:p>
    <w:p>
      <w:pPr>
        <w:pStyle w:val="Heading2"/>
        <w:spacing w:after="120" w:before="280"/>
      </w:pPr>
      <w:r>
        <w:rPr>
          <w:rFonts w:ascii="Arial" w:cs="Arial" w:eastAsia="Arial" w:hAnsi="Arial"/>
          <w:b/>
          <w:bCs/>
          <w:color w:val="1A1A1A"/>
          <w:sz w:val="26"/>
          <w:szCs w:val="26"/>
        </w:rPr>
        <w:t xml:space="preserve">1.8  Recovery Procedures by Scenario</w:t>
      </w:r>
    </w:p>
    <w:p>
      <w:pPr>
        <w:spacing w:after="80" w:before="200"/>
      </w:pPr>
      <w:r>
        <w:rPr>
          <w:rFonts w:ascii="Arial" w:cs="Arial" w:eastAsia="Arial" w:hAnsi="Arial"/>
          <w:b/>
          <w:bCs/>
          <w:color w:val="1A1A1A"/>
          <w:sz w:val="22"/>
          <w:szCs w:val="22"/>
          <w:u w:val="single"/>
        </w:rPr>
        <w:t xml:space="preserve">Platform Hosting Outage (Netlify)</w:t>
      </w:r>
    </w:p>
    <w:p>
      <w:pPr>
        <w:pStyle w:val="ListParagraph"/>
        <w:numPr>
          <w:ilvl w:val="0"/>
          <w:numId w:val="3"/>
        </w:numPr>
        <w:spacing w:after="40" w:before="40"/>
      </w:pPr>
      <w:r>
        <w:rPr>
          <w:rFonts w:ascii="Arial" w:cs="Arial" w:eastAsia="Arial" w:hAnsi="Arial"/>
          <w:color w:val="1A1A1A"/>
          <w:sz w:val="22"/>
          <w:szCs w:val="22"/>
        </w:rPr>
        <w:t xml:space="preserve">Confirm outage via Netlify status page and direct support contact.</w:t>
      </w:r>
    </w:p>
    <w:p>
      <w:pPr>
        <w:pStyle w:val="ListParagraph"/>
        <w:numPr>
          <w:ilvl w:val="0"/>
          <w:numId w:val="3"/>
        </w:numPr>
        <w:spacing w:after="40" w:before="40"/>
      </w:pPr>
      <w:r>
        <w:rPr>
          <w:rFonts w:ascii="Arial" w:cs="Arial" w:eastAsia="Arial" w:hAnsi="Arial"/>
          <w:color w:val="1A1A1A"/>
          <w:sz w:val="22"/>
          <w:szCs w:val="22"/>
        </w:rPr>
        <w:t xml:space="preserve">Activate maintenance mode notification on any cached page or DNS-level landing page.</w:t>
      </w:r>
    </w:p>
    <w:p>
      <w:pPr>
        <w:pStyle w:val="ListParagraph"/>
        <w:numPr>
          <w:ilvl w:val="0"/>
          <w:numId w:val="3"/>
        </w:numPr>
        <w:spacing w:after="40" w:before="40"/>
      </w:pPr>
      <w:r>
        <w:rPr>
          <w:rFonts w:ascii="Arial" w:cs="Arial" w:eastAsia="Arial" w:hAnsi="Arial"/>
          <w:color w:val="1A1A1A"/>
          <w:sz w:val="22"/>
          <w:szCs w:val="22"/>
        </w:rPr>
        <w:t xml:space="preserve">Post User notice via email (if email system operational) and social media.</w:t>
      </w:r>
    </w:p>
    <w:p>
      <w:pPr>
        <w:pStyle w:val="ListParagraph"/>
        <w:numPr>
          <w:ilvl w:val="0"/>
          <w:numId w:val="3"/>
        </w:numPr>
        <w:spacing w:after="40" w:before="40"/>
      </w:pPr>
      <w:r>
        <w:rPr>
          <w:rFonts w:ascii="Arial" w:cs="Arial" w:eastAsia="Arial" w:hAnsi="Arial"/>
          <w:color w:val="1A1A1A"/>
          <w:sz w:val="22"/>
          <w:szCs w:val="22"/>
        </w:rPr>
        <w:t xml:space="preserve">Engage Netlify escalation path. If outage exceeds 2 hours with no resolution timeline, activate secondary hosting environment.</w:t>
      </w:r>
    </w:p>
    <w:p>
      <w:pPr>
        <w:pStyle w:val="ListParagraph"/>
        <w:numPr>
          <w:ilvl w:val="0"/>
          <w:numId w:val="3"/>
        </w:numPr>
        <w:spacing w:after="40" w:before="40"/>
      </w:pPr>
      <w:r>
        <w:rPr>
          <w:rFonts w:ascii="Arial" w:cs="Arial" w:eastAsia="Arial" w:hAnsi="Arial"/>
          <w:color w:val="1A1A1A"/>
          <w:sz w:val="22"/>
          <w:szCs w:val="22"/>
        </w:rPr>
        <w:t xml:space="preserve">On restoration, verify all critical flows: login, Listing, payment, messaging, payout.</w:t>
      </w:r>
    </w:p>
    <w:p>
      <w:pPr>
        <w:pStyle w:val="ListParagraph"/>
        <w:numPr>
          <w:ilvl w:val="0"/>
          <w:numId w:val="3"/>
        </w:numPr>
        <w:spacing w:after="40" w:before="40"/>
      </w:pPr>
      <w:r>
        <w:rPr>
          <w:rFonts w:ascii="Arial" w:cs="Arial" w:eastAsia="Arial" w:hAnsi="Arial"/>
          <w:color w:val="1A1A1A"/>
          <w:sz w:val="22"/>
          <w:szCs w:val="22"/>
        </w:rPr>
        <w:t xml:space="preserve">Document incident in the Incident Register.</w:t>
      </w:r>
    </w:p>
    <w:p>
      <w:pPr>
        <w:spacing w:after="60" w:before="60"/>
      </w:pPr>
      <w:r>
        <w:t xml:space="preserve"/>
      </w:r>
    </w:p>
    <w:p>
      <w:pPr>
        <w:spacing w:after="80" w:before="200"/>
      </w:pPr>
      <w:r>
        <w:rPr>
          <w:rFonts w:ascii="Arial" w:cs="Arial" w:eastAsia="Arial" w:hAnsi="Arial"/>
          <w:b/>
          <w:bCs/>
          <w:color w:val="1A1A1A"/>
          <w:sz w:val="22"/>
          <w:szCs w:val="22"/>
          <w:u w:val="single"/>
        </w:rPr>
        <w:t xml:space="preserve">Database Outage or Corruption (Supabase)</w:t>
      </w:r>
    </w:p>
    <w:p>
      <w:pPr>
        <w:pStyle w:val="ListParagraph"/>
        <w:numPr>
          <w:ilvl w:val="0"/>
          <w:numId w:val="3"/>
        </w:numPr>
        <w:spacing w:after="40" w:before="40"/>
      </w:pPr>
      <w:r>
        <w:rPr>
          <w:rFonts w:ascii="Arial" w:cs="Arial" w:eastAsia="Arial" w:hAnsi="Arial"/>
          <w:color w:val="1A1A1A"/>
          <w:sz w:val="22"/>
          <w:szCs w:val="22"/>
        </w:rPr>
        <w:t xml:space="preserve">Confirm outage via Supabase status page and CTO assessment.</w:t>
      </w:r>
    </w:p>
    <w:p>
      <w:pPr>
        <w:pStyle w:val="ListParagraph"/>
        <w:numPr>
          <w:ilvl w:val="0"/>
          <w:numId w:val="3"/>
        </w:numPr>
        <w:spacing w:after="40" w:before="40"/>
      </w:pPr>
      <w:r>
        <w:rPr>
          <w:rFonts w:ascii="Arial" w:cs="Arial" w:eastAsia="Arial" w:hAnsi="Arial"/>
          <w:color w:val="1A1A1A"/>
          <w:sz w:val="22"/>
          <w:szCs w:val="22"/>
        </w:rPr>
        <w:t xml:space="preserve">If data loss is suspected: immediately freeze all payment processing and payout releases.</w:t>
      </w:r>
    </w:p>
    <w:p>
      <w:pPr>
        <w:pStyle w:val="ListParagraph"/>
        <w:numPr>
          <w:ilvl w:val="0"/>
          <w:numId w:val="3"/>
        </w:numPr>
        <w:spacing w:after="40" w:before="40"/>
      </w:pPr>
      <w:r>
        <w:rPr>
          <w:rFonts w:ascii="Arial" w:cs="Arial" w:eastAsia="Arial" w:hAnsi="Arial"/>
          <w:color w:val="1A1A1A"/>
          <w:sz w:val="22"/>
          <w:szCs w:val="22"/>
        </w:rPr>
        <w:t xml:space="preserve">Engage Supabase support escalation.</w:t>
      </w:r>
    </w:p>
    <w:p>
      <w:pPr>
        <w:pStyle w:val="ListParagraph"/>
        <w:numPr>
          <w:ilvl w:val="0"/>
          <w:numId w:val="3"/>
        </w:numPr>
        <w:spacing w:after="40" w:before="40"/>
      </w:pPr>
      <w:r>
        <w:rPr>
          <w:rFonts w:ascii="Arial" w:cs="Arial" w:eastAsia="Arial" w:hAnsi="Arial"/>
          <w:color w:val="1A1A1A"/>
          <w:sz w:val="22"/>
          <w:szCs w:val="22"/>
        </w:rPr>
        <w:t xml:space="preserve">Restore from most recent backup. Target RPO of 1 hour.</w:t>
      </w:r>
    </w:p>
    <w:p>
      <w:pPr>
        <w:pStyle w:val="ListParagraph"/>
        <w:numPr>
          <w:ilvl w:val="0"/>
          <w:numId w:val="3"/>
        </w:numPr>
        <w:spacing w:after="40" w:before="40"/>
      </w:pPr>
      <w:r>
        <w:rPr>
          <w:rFonts w:ascii="Arial" w:cs="Arial" w:eastAsia="Arial" w:hAnsi="Arial"/>
          <w:color w:val="1A1A1A"/>
          <w:sz w:val="22"/>
          <w:szCs w:val="22"/>
        </w:rPr>
        <w:t xml:space="preserve">Before restoring payments: reconcile transaction state against Payment Provider records.</w:t>
      </w:r>
    </w:p>
    <w:p>
      <w:pPr>
        <w:pStyle w:val="ListParagraph"/>
        <w:numPr>
          <w:ilvl w:val="0"/>
          <w:numId w:val="3"/>
        </w:numPr>
        <w:spacing w:after="40" w:before="40"/>
      </w:pPr>
      <w:r>
        <w:rPr>
          <w:rFonts w:ascii="Arial" w:cs="Arial" w:eastAsia="Arial" w:hAnsi="Arial"/>
          <w:color w:val="1A1A1A"/>
          <w:sz w:val="22"/>
          <w:szCs w:val="22"/>
        </w:rPr>
        <w:t xml:space="preserve">If personal information was lost: activate Data Breach Response Plan.</w:t>
      </w:r>
    </w:p>
    <w:p>
      <w:pPr>
        <w:spacing w:after="60" w:before="60"/>
      </w:pPr>
      <w:r>
        <w:t xml:space="preserve"/>
      </w:r>
    </w:p>
    <w:p>
      <w:pPr>
        <w:spacing w:after="80" w:before="200"/>
      </w:pPr>
      <w:r>
        <w:rPr>
          <w:rFonts w:ascii="Arial" w:cs="Arial" w:eastAsia="Arial" w:hAnsi="Arial"/>
          <w:b/>
          <w:bCs/>
          <w:color w:val="1A1A1A"/>
          <w:sz w:val="22"/>
          <w:szCs w:val="22"/>
          <w:u w:val="single"/>
        </w:rPr>
        <w:t xml:space="preserve">Payment Provider Outage</w:t>
      </w:r>
    </w:p>
    <w:p>
      <w:pPr>
        <w:pStyle w:val="ListParagraph"/>
        <w:numPr>
          <w:ilvl w:val="0"/>
          <w:numId w:val="3"/>
        </w:numPr>
        <w:spacing w:after="40" w:before="40"/>
      </w:pPr>
      <w:r>
        <w:rPr>
          <w:rFonts w:ascii="Arial" w:cs="Arial" w:eastAsia="Arial" w:hAnsi="Arial"/>
          <w:color w:val="1A1A1A"/>
          <w:sz w:val="22"/>
          <w:szCs w:val="22"/>
        </w:rPr>
        <w:t xml:space="preserve">Confirm outage via PayFast status page.</w:t>
      </w:r>
    </w:p>
    <w:p>
      <w:pPr>
        <w:pStyle w:val="ListParagraph"/>
        <w:numPr>
          <w:ilvl w:val="0"/>
          <w:numId w:val="3"/>
        </w:numPr>
        <w:spacing w:after="40" w:before="40"/>
      </w:pPr>
      <w:r>
        <w:rPr>
          <w:rFonts w:ascii="Arial" w:cs="Arial" w:eastAsia="Arial" w:hAnsi="Arial"/>
          <w:color w:val="1A1A1A"/>
          <w:sz w:val="22"/>
          <w:szCs w:val="22"/>
        </w:rPr>
        <w:t xml:space="preserve">Immediately notify all Users attempting payment via in-app message and email.</w:t>
      </w:r>
    </w:p>
    <w:p>
      <w:pPr>
        <w:pStyle w:val="ListParagraph"/>
        <w:numPr>
          <w:ilvl w:val="0"/>
          <w:numId w:val="3"/>
        </w:numPr>
        <w:spacing w:after="40" w:before="40"/>
      </w:pPr>
      <w:r>
        <w:rPr>
          <w:rFonts w:ascii="Arial" w:cs="Arial" w:eastAsia="Arial" w:hAnsi="Arial"/>
          <w:color w:val="1A1A1A"/>
          <w:sz w:val="22"/>
          <w:szCs w:val="22"/>
        </w:rPr>
        <w:t xml:space="preserve">Suspend all new Secure Checkout transactions until payment flow is restored.</w:t>
      </w:r>
    </w:p>
    <w:p>
      <w:pPr>
        <w:pStyle w:val="ListParagraph"/>
        <w:numPr>
          <w:ilvl w:val="0"/>
          <w:numId w:val="3"/>
        </w:numPr>
        <w:spacing w:after="40" w:before="40"/>
      </w:pPr>
      <w:r>
        <w:rPr>
          <w:rFonts w:ascii="Arial" w:cs="Arial" w:eastAsia="Arial" w:hAnsi="Arial"/>
          <w:color w:val="1A1A1A"/>
          <w:sz w:val="22"/>
          <w:szCs w:val="22"/>
        </w:rPr>
        <w:t>Maintain payout holds - do not manually release during outage.</w:t>
      </w:r>
    </w:p>
    <w:p>
      <w:pPr>
        <w:pStyle w:val="ListParagraph"/>
        <w:numPr>
          <w:ilvl w:val="0"/>
          <w:numId w:val="3"/>
        </w:numPr>
        <w:spacing w:after="40" w:before="40"/>
      </w:pPr>
      <w:r>
        <w:rPr>
          <w:rFonts w:ascii="Arial" w:cs="Arial" w:eastAsia="Arial" w:hAnsi="Arial"/>
          <w:color w:val="1A1A1A"/>
          <w:sz w:val="22"/>
          <w:szCs w:val="22"/>
        </w:rPr>
        <w:t xml:space="preserve">On restoration: verify all pending transactions and reconcile before releasing holds.</w:t>
      </w:r>
    </w:p>
    <w:p>
      <w:pPr>
        <w:pStyle w:val="Heading2"/>
        <w:spacing w:after="120" w:before="280"/>
      </w:pPr>
      <w:r>
        <w:rPr>
          <w:rFonts w:ascii="Arial" w:cs="Arial" w:eastAsia="Arial" w:hAnsi="Arial"/>
          <w:b/>
          <w:bCs/>
          <w:color w:val="1A1A1A"/>
          <w:sz w:val="26"/>
          <w:szCs w:val="26"/>
        </w:rPr>
        <w:t xml:space="preserve">1.9  Data Backup Requirements</w:t>
      </w:r>
    </w:p>
    <w:p>
      <w:pPr>
        <w:spacing w:after="80" w:before="80"/>
      </w:pPr>
      <w:r>
        <w:rPr>
          <w:rFonts w:ascii="Arial" w:cs="Arial" w:eastAsia="Arial" w:hAnsi="Arial"/>
          <w:color w:val="1A1A1A"/>
          <w:sz w:val="22"/>
          <w:szCs w:val="22"/>
        </w:rPr>
        <w:t xml:space="preserve">ANIMEX must maintain:</w:t>
      </w:r>
    </w:p>
    <w:p>
      <w:pPr>
        <w:pStyle w:val="ListParagraph"/>
        <w:numPr>
          <w:ilvl w:val="0"/>
          <w:numId w:val="2"/>
        </w:numPr>
        <w:spacing w:after="40" w:before="40"/>
      </w:pPr>
      <w:r>
        <w:rPr>
          <w:rFonts w:ascii="Arial" w:cs="Arial" w:eastAsia="Arial" w:hAnsi="Arial"/>
          <w:color w:val="1A1A1A"/>
          <w:sz w:val="22"/>
          <w:szCs w:val="22"/>
        </w:rPr>
        <w:t xml:space="preserve">automated daily full backups of all Supabase database data, retained for minimum 30 (thirty) days;</w:t>
      </w:r>
    </w:p>
    <w:p>
      <w:pPr>
        <w:pStyle w:val="ListParagraph"/>
        <w:numPr>
          <w:ilvl w:val="0"/>
          <w:numId w:val="2"/>
        </w:numPr>
        <w:spacing w:after="40" w:before="40"/>
      </w:pPr>
      <w:r>
        <w:rPr>
          <w:rFonts w:ascii="Arial" w:cs="Arial" w:eastAsia="Arial" w:hAnsi="Arial"/>
          <w:color w:val="1A1A1A"/>
          <w:sz w:val="22"/>
          <w:szCs w:val="22"/>
        </w:rPr>
        <w:t xml:space="preserve">continuous or near-continuous replication of transaction and payment data (target: 15-minute maximum lag);</w:t>
      </w:r>
    </w:p>
    <w:p>
      <w:pPr>
        <w:pStyle w:val="ListParagraph"/>
        <w:numPr>
          <w:ilvl w:val="0"/>
          <w:numId w:val="2"/>
        </w:numPr>
        <w:spacing w:after="40" w:before="40"/>
      </w:pPr>
      <w:r>
        <w:rPr>
          <w:rFonts w:ascii="Arial" w:cs="Arial" w:eastAsia="Arial" w:hAnsi="Arial"/>
          <w:color w:val="1A1A1A"/>
          <w:sz w:val="22"/>
          <w:szCs w:val="22"/>
        </w:rPr>
        <w:t xml:space="preserve">weekly backup test to confirm data integrity and restore capability;</w:t>
      </w:r>
    </w:p>
    <w:p>
      <w:pPr>
        <w:pStyle w:val="ListParagraph"/>
        <w:numPr>
          <w:ilvl w:val="0"/>
          <w:numId w:val="2"/>
        </w:numPr>
        <w:spacing w:after="40" w:before="40"/>
      </w:pPr>
      <w:r>
        <w:rPr>
          <w:rFonts w:ascii="Arial" w:cs="Arial" w:eastAsia="Arial" w:hAnsi="Arial"/>
          <w:color w:val="1A1A1A"/>
          <w:sz w:val="22"/>
          <w:szCs w:val="22"/>
        </w:rPr>
        <w:t xml:space="preserve">offsite or multi-region backup storage to protect against single data centre failure;</w:t>
      </w:r>
    </w:p>
    <w:p>
      <w:pPr>
        <w:pStyle w:val="ListParagraph"/>
        <w:numPr>
          <w:ilvl w:val="0"/>
          <w:numId w:val="2"/>
        </w:numPr>
        <w:spacing w:after="40" w:before="40"/>
      </w:pPr>
      <w:r>
        <w:rPr>
          <w:rFonts w:ascii="Arial" w:cs="Arial" w:eastAsia="Arial" w:hAnsi="Arial"/>
          <w:color w:val="1A1A1A"/>
          <w:sz w:val="22"/>
          <w:szCs w:val="22"/>
        </w:rPr>
        <w:t xml:space="preserve">encrypted backup storage with access restricted to CTO and delegated recovery personnel;</w:t>
      </w:r>
    </w:p>
    <w:p>
      <w:pPr>
        <w:pStyle w:val="ListParagraph"/>
        <w:numPr>
          <w:ilvl w:val="0"/>
          <w:numId w:val="2"/>
        </w:numPr>
        <w:spacing w:after="40" w:before="40"/>
      </w:pPr>
      <w:r>
        <w:rPr>
          <w:rFonts w:ascii="Arial" w:cs="Arial" w:eastAsia="Arial" w:hAnsi="Arial"/>
          <w:color w:val="1A1A1A"/>
          <w:sz w:val="22"/>
          <w:szCs w:val="22"/>
        </w:rPr>
        <w:t xml:space="preserve">documented restore procedure tested at least quarterly.</w:t>
      </w:r>
    </w:p>
    <w:p>
      <w:pPr>
        <w:pStyle w:val="Heading2"/>
        <w:spacing w:after="120" w:before="280"/>
      </w:pPr>
      <w:r>
        <w:rPr>
          <w:rFonts w:ascii="Arial" w:cs="Arial" w:eastAsia="Arial" w:hAnsi="Arial"/>
          <w:b/>
          <w:bCs/>
          <w:color w:val="1A1A1A"/>
          <w:sz w:val="26"/>
          <w:szCs w:val="26"/>
        </w:rPr>
        <w:t xml:space="preserve">1.10  Communication During an Incident</w:t>
      </w:r>
    </w:p>
    <w:p>
      <w:pPr>
        <w:spacing w:after="80" w:before="80"/>
      </w:pPr>
      <w:r>
        <w:rPr>
          <w:rFonts w:ascii="Arial" w:cs="Arial" w:eastAsia="Arial" w:hAnsi="Arial"/>
          <w:color w:val="1A1A1A"/>
          <w:sz w:val="22"/>
          <w:szCs w:val="22"/>
        </w:rPr>
        <w:t xml:space="preserve">ANIMEX must communicate with Users when:</w:t>
      </w:r>
    </w:p>
    <w:p>
      <w:pPr>
        <w:pStyle w:val="ListParagraph"/>
        <w:numPr>
          <w:ilvl w:val="0"/>
          <w:numId w:val="2"/>
        </w:numPr>
        <w:spacing w:after="40" w:before="40"/>
      </w:pPr>
      <w:r>
        <w:rPr>
          <w:rFonts w:ascii="Arial" w:cs="Arial" w:eastAsia="Arial" w:hAnsi="Arial"/>
          <w:color w:val="1A1A1A"/>
          <w:sz w:val="22"/>
          <w:szCs w:val="22"/>
        </w:rPr>
        <w:t xml:space="preserve">any Critical system is unavailable for more than 1 (one) hour;</w:t>
      </w:r>
    </w:p>
    <w:p>
      <w:pPr>
        <w:pStyle w:val="ListParagraph"/>
        <w:numPr>
          <w:ilvl w:val="0"/>
          <w:numId w:val="2"/>
        </w:numPr>
        <w:spacing w:after="40" w:before="40"/>
      </w:pPr>
      <w:r>
        <w:rPr>
          <w:rFonts w:ascii="Arial" w:cs="Arial" w:eastAsia="Arial" w:hAnsi="Arial"/>
          <w:color w:val="1A1A1A"/>
          <w:sz w:val="22"/>
          <w:szCs w:val="22"/>
        </w:rPr>
        <w:t xml:space="preserve">payment processing is affected for any period;</w:t>
      </w:r>
    </w:p>
    <w:p>
      <w:pPr>
        <w:pStyle w:val="ListParagraph"/>
        <w:numPr>
          <w:ilvl w:val="0"/>
          <w:numId w:val="2"/>
        </w:numPr>
        <w:spacing w:after="40" w:before="40"/>
      </w:pPr>
      <w:r>
        <w:rPr>
          <w:rFonts w:ascii="Arial" w:cs="Arial" w:eastAsia="Arial" w:hAnsi="Arial"/>
          <w:color w:val="1A1A1A"/>
          <w:sz w:val="22"/>
          <w:szCs w:val="22"/>
        </w:rPr>
        <w:t xml:space="preserve">User funds, personal information, or account security may be affected.</w:t>
      </w:r>
    </w:p>
    <w:p>
      <w:pPr>
        <w:spacing w:after="80" w:before="80"/>
      </w:pPr>
      <w:r>
        <w:rPr>
          <w:rFonts w:ascii="Arial" w:cs="Arial" w:eastAsia="Arial" w:hAnsi="Arial"/>
          <w:color w:val="1A1A1A"/>
          <w:sz w:val="22"/>
          <w:szCs w:val="22"/>
        </w:rPr>
        <w:t xml:space="preserve">Communications must include: nature of the issue; estimated resolution time or acknowledgment of investigation; what Users should or should not do; and ANIMEX's support contact. ANIMEX must not communicate estimated restoration times unless these are confirmed by technical leads.</w:t>
      </w:r>
    </w:p>
    <w:p>
      <w:pPr>
        <w:pStyle w:val="Heading2"/>
        <w:spacing w:after="120" w:before="280"/>
      </w:pPr>
      <w:r>
        <w:rPr>
          <w:rFonts w:ascii="Arial" w:cs="Arial" w:eastAsia="Arial" w:hAnsi="Arial"/>
          <w:b/>
          <w:bCs/>
          <w:color w:val="1A1A1A"/>
          <w:sz w:val="26"/>
          <w:szCs w:val="26"/>
        </w:rPr>
        <w:t xml:space="preserve">1.11  Post-Incident Review</w:t>
      </w:r>
    </w:p>
    <w:p>
      <w:pPr>
        <w:spacing w:after="80" w:before="80"/>
      </w:pPr>
      <w:r>
        <w:rPr>
          <w:rFonts w:ascii="Arial" w:cs="Arial" w:eastAsia="Arial" w:hAnsi="Arial"/>
          <w:color w:val="1A1A1A"/>
          <w:sz w:val="22"/>
          <w:szCs w:val="22"/>
        </w:rPr>
        <w:t xml:space="preserve">Following every BCP activation, ANIMEX must conduct a post-incident review within 14 (fourteen) calendar days covering: root cause; impact assessment; response timeline against objectives; what worked and what failed; remediation actions; and policy or infrastructure improvements. The review report must be recorded in the Incident Register and signed off by the CEO.</w:t>
      </w:r>
    </w:p>
    <w:p>
      <w:pPr>
        <w:pStyle w:val="Heading2"/>
        <w:spacing w:after="120" w:before="280"/>
      </w:pPr>
      <w:r>
        <w:rPr>
          <w:rFonts w:ascii="Arial" w:cs="Arial" w:eastAsia="Arial" w:hAnsi="Arial"/>
          <w:b/>
          <w:bCs/>
          <w:color w:val="1A1A1A"/>
          <w:sz w:val="26"/>
          <w:szCs w:val="26"/>
        </w:rPr>
        <w:t xml:space="preserve">1.12  Testing</w:t>
      </w:r>
    </w:p>
    <w:p>
      <w:pPr>
        <w:spacing w:after="80" w:before="80"/>
      </w:pPr>
      <w:r>
        <w:rPr>
          <w:rFonts w:ascii="Arial" w:cs="Arial" w:eastAsia="Arial" w:hAnsi="Arial"/>
          <w:color w:val="1A1A1A"/>
          <w:sz w:val="22"/>
          <w:szCs w:val="22"/>
        </w:rPr>
        <w:t xml:space="preserve">ANIMEX must test the BCP at least annually, including: tabletop exercises for P1 and P2 scenarios; backup restoration tests; payment provider failover testing; key personnel absence simulation; and User communication drill. Test results must be documented and used to update the BCP.</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2.  Vendor and Third-Party Risk Management Policy</w:t>
      </w:r>
    </w:p>
    <w:p>
      <w:pPr>
        <w:pStyle w:val="Heading2"/>
        <w:spacing w:after="120" w:before="280"/>
      </w:pPr>
      <w:r>
        <w:rPr>
          <w:rFonts w:ascii="Arial" w:cs="Arial" w:eastAsia="Arial" w:hAnsi="Arial"/>
          <w:b/>
          <w:bCs/>
          <w:color w:val="1A1A1A"/>
          <w:sz w:val="26"/>
          <w:szCs w:val="26"/>
        </w:rPr>
        <w:t xml:space="preserve">2.1  Purpose</w:t>
      </w:r>
    </w:p>
    <w:p>
      <w:pPr>
        <w:spacing w:after="80" w:before="80"/>
      </w:pPr>
      <w:r>
        <w:rPr>
          <w:rFonts w:ascii="Arial" w:cs="Arial" w:eastAsia="Arial" w:hAnsi="Arial"/>
          <w:color w:val="1A1A1A"/>
          <w:sz w:val="22"/>
          <w:szCs w:val="22"/>
        </w:rPr>
        <w:t xml:space="preserve">ANIMEX relies on third-party vendors for hosting, payment processing, identity verification, analytics, email delivery, error monitoring, and other critical functions. This policy establishes how ANIMEX identifies, assesses, contracts with, monitors, and exits third-party vendors to manage operational, data protection, financial, and legal risk.</w:t>
      </w:r>
    </w:p>
    <w:p>
      <w:pPr>
        <w:spacing w:after="80" w:before="80"/>
      </w:pPr>
      <w:r>
        <w:rPr>
          <w:rFonts w:ascii="Arial" w:cs="Arial" w:eastAsia="Arial" w:hAnsi="Arial"/>
          <w:color w:val="1A1A1A"/>
          <w:sz w:val="22"/>
          <w:szCs w:val="22"/>
        </w:rPr>
        <w:t xml:space="preserve">This policy is read together with the Data Processing Agreement (Compliance Pack, Section 1), the Data Breach Response Plan (Compliance Pack, Section 5), and the Business Continuity Policy (this pack, Section 1).</w:t>
      </w:r>
    </w:p>
    <w:p>
      <w:pPr>
        <w:pStyle w:val="Heading2"/>
        <w:spacing w:after="120" w:before="280"/>
      </w:pPr>
      <w:r>
        <w:rPr>
          <w:rFonts w:ascii="Arial" w:cs="Arial" w:eastAsia="Arial" w:hAnsi="Arial"/>
          <w:b/>
          <w:bCs/>
          <w:color w:val="1A1A1A"/>
          <w:sz w:val="26"/>
          <w:szCs w:val="26"/>
        </w:rPr>
        <w:t xml:space="preserve">2.2  Vendor Classification</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2800"/>
        <w:gridCol w:w="3826"/>
      </w:tblGrid>
      <w:tr>
        <w:tc>
          <w:tcPr>
            <w:tcW w:type="dxa" w:w="24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Tier</w:t>
            </w:r>
          </w:p>
        </w:tc>
        <w:tc>
          <w:tcPr>
            <w:tcW w:type="dxa" w:w="28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Description</w:t>
            </w:r>
          </w:p>
        </w:tc>
        <w:tc>
          <w:tcPr>
            <w:tcW w:type="dxa" w:w="38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Examples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Tier 1 - Critical</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Vendors whose failure or breach would directly disrupt Platform operations, payment processing, or User data security</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Supabase, Netlify, PayFast, Payment gateway, Identity verification provider</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Tier 2 - High</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Vendors whose failure would significantly degrade Platform functionality or User experience</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Email provider, SMS gateway, Error monitoring, CDN, Analytics platform</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Tier 3 - Standard</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Vendors whose failure causes limited or no immediate impact on Users or data</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Internal tools, non-critical SaaS subscriptions, marketing tools</w:t>
            </w:r>
          </w:p>
        </w:tc>
      </w:tr>
    </w:tbl>
    <w:p>
      <w:pPr>
        <w:spacing w:after="60" w:before="60"/>
      </w:pPr>
      <w:r>
        <w:t xml:space="preserve"/>
      </w:r>
    </w:p>
    <w:p>
      <w:pPr>
        <w:pStyle w:val="Heading2"/>
        <w:spacing w:after="120" w:before="280"/>
      </w:pPr>
      <w:r>
        <w:rPr>
          <w:rFonts w:ascii="Arial" w:cs="Arial" w:eastAsia="Arial" w:hAnsi="Arial"/>
          <w:b/>
          <w:bCs/>
          <w:color w:val="1A1A1A"/>
          <w:sz w:val="26"/>
          <w:szCs w:val="26"/>
        </w:rPr>
        <w:t xml:space="preserve">2.3  Vendor Due Diligence</w:t>
      </w:r>
    </w:p>
    <w:p>
      <w:pPr>
        <w:spacing w:after="80" w:before="80"/>
      </w:pPr>
      <w:r>
        <w:rPr>
          <w:rFonts w:ascii="Arial" w:cs="Arial" w:eastAsia="Arial" w:hAnsi="Arial"/>
          <w:color w:val="1A1A1A"/>
          <w:sz w:val="22"/>
          <w:szCs w:val="22"/>
        </w:rPr>
        <w:t xml:space="preserve">Before onboarding any Tier 1 or Tier 2 vendor, ANIMEX must conduct due diligence including:</w:t>
      </w:r>
    </w:p>
    <w:p>
      <w:pPr>
        <w:pStyle w:val="ListParagraph"/>
        <w:numPr>
          <w:ilvl w:val="0"/>
          <w:numId w:val="2"/>
        </w:numPr>
        <w:spacing w:after="40" w:before="40"/>
      </w:pPr>
      <w:r>
        <w:rPr>
          <w:rFonts w:ascii="Arial" w:cs="Arial" w:eastAsia="Arial" w:hAnsi="Arial"/>
          <w:color w:val="1A1A1A"/>
          <w:sz w:val="22"/>
          <w:szCs w:val="22"/>
        </w:rPr>
        <w:t xml:space="preserve">review of the vendor's data protection and privacy policies, including POPIA and GDPR compliance where applicable;</w:t>
      </w:r>
    </w:p>
    <w:p>
      <w:pPr>
        <w:pStyle w:val="ListParagraph"/>
        <w:numPr>
          <w:ilvl w:val="0"/>
          <w:numId w:val="2"/>
        </w:numPr>
        <w:spacing w:after="40" w:before="40"/>
      </w:pPr>
      <w:r>
        <w:rPr>
          <w:rFonts w:ascii="Arial" w:cs="Arial" w:eastAsia="Arial" w:hAnsi="Arial"/>
          <w:color w:val="1A1A1A"/>
          <w:sz w:val="22"/>
          <w:szCs w:val="22"/>
        </w:rPr>
        <w:t xml:space="preserve">review of the vendor's information security certifications (ISO 27001, SOC 2, or equivalent);</w:t>
      </w:r>
    </w:p>
    <w:p>
      <w:pPr>
        <w:pStyle w:val="ListParagraph"/>
        <w:numPr>
          <w:ilvl w:val="0"/>
          <w:numId w:val="2"/>
        </w:numPr>
        <w:spacing w:after="40" w:before="40"/>
      </w:pPr>
      <w:r>
        <w:rPr>
          <w:rFonts w:ascii="Arial" w:cs="Arial" w:eastAsia="Arial" w:hAnsi="Arial"/>
          <w:color w:val="1A1A1A"/>
          <w:sz w:val="22"/>
          <w:szCs w:val="22"/>
        </w:rPr>
        <w:t xml:space="preserve">review of the vendor's data breach history and incident response capability;</w:t>
      </w:r>
    </w:p>
    <w:p>
      <w:pPr>
        <w:pStyle w:val="ListParagraph"/>
        <w:numPr>
          <w:ilvl w:val="0"/>
          <w:numId w:val="2"/>
        </w:numPr>
        <w:spacing w:after="40" w:before="40"/>
      </w:pPr>
      <w:r>
        <w:rPr>
          <w:rFonts w:ascii="Arial" w:cs="Arial" w:eastAsia="Arial" w:hAnsi="Arial"/>
          <w:color w:val="1A1A1A"/>
          <w:sz w:val="22"/>
          <w:szCs w:val="22"/>
        </w:rPr>
        <w:t xml:space="preserve">assessment of the vendor's financial stability and business continuity arrangements;</w:t>
      </w:r>
    </w:p>
    <w:p>
      <w:pPr>
        <w:pStyle w:val="ListParagraph"/>
        <w:numPr>
          <w:ilvl w:val="0"/>
          <w:numId w:val="2"/>
        </w:numPr>
        <w:spacing w:after="40" w:before="40"/>
      </w:pPr>
      <w:r>
        <w:rPr>
          <w:rFonts w:ascii="Arial" w:cs="Arial" w:eastAsia="Arial" w:hAnsi="Arial"/>
          <w:color w:val="1A1A1A"/>
          <w:sz w:val="22"/>
          <w:szCs w:val="22"/>
        </w:rPr>
        <w:t xml:space="preserve">review of the vendor's sub-processor arrangements and geographic data residency;</w:t>
      </w:r>
    </w:p>
    <w:p>
      <w:pPr>
        <w:pStyle w:val="ListParagraph"/>
        <w:numPr>
          <w:ilvl w:val="0"/>
          <w:numId w:val="2"/>
        </w:numPr>
        <w:spacing w:after="40" w:before="40"/>
      </w:pPr>
      <w:r>
        <w:rPr>
          <w:rFonts w:ascii="Arial" w:cs="Arial" w:eastAsia="Arial" w:hAnsi="Arial"/>
          <w:color w:val="1A1A1A"/>
          <w:sz w:val="22"/>
          <w:szCs w:val="22"/>
        </w:rPr>
        <w:t>assessment of exit and data export arrangements.</w:t>
      </w:r>
    </w:p>
    <w:p>
      <w:pPr>
        <w:spacing w:after="80" w:before="80"/>
      </w:pPr>
      <w:r>
        <w:rPr>
          <w:rFonts w:ascii="Arial" w:cs="Arial" w:eastAsia="Arial" w:hAnsi="Arial"/>
          <w:color w:val="1A1A1A"/>
          <w:sz w:val="22"/>
          <w:szCs w:val="22"/>
        </w:rPr>
        <w:t xml:space="preserve">Tier 3 vendors require a standard terms review only.</w:t>
      </w:r>
    </w:p>
    <w:p>
      <w:pPr>
        <w:pStyle w:val="Heading2"/>
        <w:spacing w:after="120" w:before="280"/>
      </w:pPr>
      <w:r>
        <w:rPr>
          <w:rFonts w:ascii="Arial" w:cs="Arial" w:eastAsia="Arial" w:hAnsi="Arial"/>
          <w:b/>
          <w:bCs/>
          <w:color w:val="1A1A1A"/>
          <w:sz w:val="26"/>
          <w:szCs w:val="26"/>
        </w:rPr>
        <w:t xml:space="preserve">2.4  Vendor Register</w:t>
      </w:r>
    </w:p>
    <w:p>
      <w:pPr>
        <w:spacing w:after="80" w:before="80"/>
      </w:pPr>
      <w:r>
        <w:rPr>
          <w:rFonts w:ascii="Arial" w:cs="Arial" w:eastAsia="Arial" w:hAnsi="Arial"/>
          <w:color w:val="1A1A1A"/>
          <w:sz w:val="22"/>
          <w:szCs w:val="22"/>
        </w:rPr>
        <w:t xml:space="preserve">ANIMEX must maintain a Vendor Register recording, for each vendor:</w:t>
      </w:r>
    </w:p>
    <w:p>
      <w:pPr>
        <w:pStyle w:val="ListParagraph"/>
        <w:numPr>
          <w:ilvl w:val="0"/>
          <w:numId w:val="2"/>
        </w:numPr>
        <w:spacing w:after="40" w:before="40"/>
      </w:pPr>
      <w:r>
        <w:rPr>
          <w:rFonts w:ascii="Arial" w:cs="Arial" w:eastAsia="Arial" w:hAnsi="Arial"/>
          <w:color w:val="1A1A1A"/>
          <w:sz w:val="22"/>
          <w:szCs w:val="22"/>
        </w:rPr>
        <w:t xml:space="preserve">vendor name, contact details, and account manager;</w:t>
      </w:r>
    </w:p>
    <w:p>
      <w:pPr>
        <w:pStyle w:val="ListParagraph"/>
        <w:numPr>
          <w:ilvl w:val="0"/>
          <w:numId w:val="2"/>
        </w:numPr>
        <w:spacing w:after="40" w:before="40"/>
      </w:pPr>
      <w:r>
        <w:rPr>
          <w:rFonts w:ascii="Arial" w:cs="Arial" w:eastAsia="Arial" w:hAnsi="Arial"/>
          <w:color w:val="1A1A1A"/>
          <w:sz w:val="22"/>
          <w:szCs w:val="22"/>
        </w:rPr>
        <w:t xml:space="preserve">services provided to ANIMEX;</w:t>
      </w:r>
    </w:p>
    <w:p>
      <w:pPr>
        <w:pStyle w:val="ListParagraph"/>
        <w:numPr>
          <w:ilvl w:val="0"/>
          <w:numId w:val="2"/>
        </w:numPr>
        <w:spacing w:after="40" w:before="40"/>
      </w:pPr>
      <w:r>
        <w:rPr>
          <w:rFonts w:ascii="Arial" w:cs="Arial" w:eastAsia="Arial" w:hAnsi="Arial"/>
          <w:color w:val="1A1A1A"/>
          <w:sz w:val="22"/>
          <w:szCs w:val="22"/>
        </w:rPr>
        <w:t xml:space="preserve">tier classification;</w:t>
      </w:r>
    </w:p>
    <w:p>
      <w:pPr>
        <w:pStyle w:val="ListParagraph"/>
        <w:numPr>
          <w:ilvl w:val="0"/>
          <w:numId w:val="2"/>
        </w:numPr>
        <w:spacing w:after="40" w:before="40"/>
      </w:pPr>
      <w:r>
        <w:rPr>
          <w:rFonts w:ascii="Arial" w:cs="Arial" w:eastAsia="Arial" w:hAnsi="Arial"/>
          <w:color w:val="1A1A1A"/>
          <w:sz w:val="22"/>
          <w:szCs w:val="22"/>
        </w:rPr>
        <w:t xml:space="preserve">whether the vendor processes ANIMEX User personal information (and if so, DPA status);</w:t>
      </w:r>
    </w:p>
    <w:p>
      <w:pPr>
        <w:pStyle w:val="ListParagraph"/>
        <w:numPr>
          <w:ilvl w:val="0"/>
          <w:numId w:val="2"/>
        </w:numPr>
        <w:spacing w:after="40" w:before="40"/>
      </w:pPr>
      <w:r>
        <w:rPr>
          <w:rFonts w:ascii="Arial" w:cs="Arial" w:eastAsia="Arial" w:hAnsi="Arial"/>
          <w:color w:val="1A1A1A"/>
          <w:sz w:val="22"/>
          <w:szCs w:val="22"/>
        </w:rPr>
        <w:t xml:space="preserve">contract expiry date and renewal terms;</w:t>
      </w:r>
    </w:p>
    <w:p>
      <w:pPr>
        <w:pStyle w:val="ListParagraph"/>
        <w:numPr>
          <w:ilvl w:val="0"/>
          <w:numId w:val="2"/>
        </w:numPr>
        <w:spacing w:after="40" w:before="40"/>
      </w:pPr>
      <w:r>
        <w:rPr>
          <w:rFonts w:ascii="Arial" w:cs="Arial" w:eastAsia="Arial" w:hAnsi="Arial"/>
          <w:color w:val="1A1A1A"/>
          <w:sz w:val="22"/>
          <w:szCs w:val="22"/>
        </w:rPr>
        <w:t xml:space="preserve">data residency (South Africa, EU, US, or other);</w:t>
      </w:r>
    </w:p>
    <w:p>
      <w:pPr>
        <w:pStyle w:val="ListParagraph"/>
        <w:numPr>
          <w:ilvl w:val="0"/>
          <w:numId w:val="2"/>
        </w:numPr>
        <w:spacing w:after="40" w:before="40"/>
      </w:pPr>
      <w:r>
        <w:rPr>
          <w:rFonts w:ascii="Arial" w:cs="Arial" w:eastAsia="Arial" w:hAnsi="Arial"/>
          <w:color w:val="1A1A1A"/>
          <w:sz w:val="22"/>
          <w:szCs w:val="22"/>
        </w:rPr>
        <w:t xml:space="preserve">last due diligence review date;</w:t>
      </w:r>
    </w:p>
    <w:p>
      <w:pPr>
        <w:pStyle w:val="ListParagraph"/>
        <w:numPr>
          <w:ilvl w:val="0"/>
          <w:numId w:val="2"/>
        </w:numPr>
        <w:spacing w:after="40" w:before="40"/>
      </w:pPr>
      <w:r>
        <w:rPr>
          <w:rFonts w:ascii="Arial" w:cs="Arial" w:eastAsia="Arial" w:hAnsi="Arial"/>
          <w:color w:val="1A1A1A"/>
          <w:sz w:val="22"/>
          <w:szCs w:val="22"/>
        </w:rPr>
        <w:t xml:space="preserve">any known incidents, breaches, or service degradations;</w:t>
      </w:r>
    </w:p>
    <w:p>
      <w:pPr>
        <w:pStyle w:val="ListParagraph"/>
        <w:numPr>
          <w:ilvl w:val="0"/>
          <w:numId w:val="2"/>
        </w:numPr>
        <w:spacing w:after="40" w:before="40"/>
      </w:pPr>
      <w:r>
        <w:rPr>
          <w:rFonts w:ascii="Arial" w:cs="Arial" w:eastAsia="Arial" w:hAnsi="Arial"/>
          <w:color w:val="1A1A1A"/>
          <w:sz w:val="22"/>
          <w:szCs w:val="22"/>
        </w:rPr>
        <w:t xml:space="preserve">exit plan reference.</w:t>
      </w:r>
    </w:p>
    <w:p>
      <w:pPr>
        <w:shd w:fill="FFF2CC" w:val="clear"/>
        <w:spacing w:after="80" w:before="80"/>
        <w:ind w:left="360" w:right="360"/>
      </w:pPr>
      <w:r>
        <w:rPr>
          <w:rFonts w:ascii="Arial" w:cs="Arial" w:eastAsia="Arial" w:hAnsi="Arial"/>
          <w:b/>
          <w:bCs/>
          <w:color w:val="7F6000"/>
          <w:sz w:val="20"/>
          <w:szCs w:val="20"/>
        </w:rPr>
        <w:t xml:space="preserve">ACTION REQUIRED: ANIMEX's current critical vendors include Supabase (database), Netlify (hosting), and PayFast (payments). A DPA must be in place with each vendor that processes User personal information. Review and update the Vendor Register at least quarterly.</w:t>
      </w:r>
    </w:p>
    <w:p>
      <w:pPr>
        <w:pStyle w:val="Heading2"/>
        <w:spacing w:after="120" w:before="280"/>
      </w:pPr>
      <w:r>
        <w:rPr>
          <w:rFonts w:ascii="Arial" w:cs="Arial" w:eastAsia="Arial" w:hAnsi="Arial"/>
          <w:b/>
          <w:bCs/>
          <w:color w:val="1A1A1A"/>
          <w:sz w:val="26"/>
          <w:szCs w:val="26"/>
        </w:rPr>
        <w:t xml:space="preserve">2.5  Contractual Requirements</w:t>
      </w:r>
    </w:p>
    <w:p>
      <w:pPr>
        <w:spacing w:after="80" w:before="80"/>
      </w:pPr>
      <w:r>
        <w:rPr>
          <w:rFonts w:ascii="Arial" w:cs="Arial" w:eastAsia="Arial" w:hAnsi="Arial"/>
          <w:color w:val="1A1A1A"/>
          <w:sz w:val="22"/>
          <w:szCs w:val="22"/>
        </w:rPr>
        <w:t xml:space="preserve">All Tier 1 and Tier 2 vendors must have:</w:t>
      </w:r>
    </w:p>
    <w:p>
      <w:pPr>
        <w:pStyle w:val="ListParagraph"/>
        <w:numPr>
          <w:ilvl w:val="0"/>
          <w:numId w:val="2"/>
        </w:numPr>
        <w:spacing w:after="40" w:before="40"/>
      </w:pPr>
      <w:r>
        <w:rPr>
          <w:rFonts w:ascii="Arial" w:cs="Arial" w:eastAsia="Arial" w:hAnsi="Arial"/>
          <w:color w:val="1A1A1A"/>
          <w:sz w:val="22"/>
          <w:szCs w:val="22"/>
        </w:rPr>
        <w:t xml:space="preserve">a signed service agreement or accepted terms of service with ANIMEX;</w:t>
      </w:r>
    </w:p>
    <w:p>
      <w:pPr>
        <w:pStyle w:val="ListParagraph"/>
        <w:numPr>
          <w:ilvl w:val="0"/>
          <w:numId w:val="2"/>
        </w:numPr>
        <w:spacing w:after="40" w:before="40"/>
      </w:pPr>
      <w:r>
        <w:rPr>
          <w:rFonts w:ascii="Arial" w:cs="Arial" w:eastAsia="Arial" w:hAnsi="Arial"/>
          <w:color w:val="1A1A1A"/>
          <w:sz w:val="22"/>
          <w:szCs w:val="22"/>
        </w:rPr>
        <w:t xml:space="preserve">a Data Processing Agreement (DPA) if the vendor processes ANIMEX User personal information, incorporating the obligations in the DPA template (Compliance Pack, Section 1);</w:t>
      </w:r>
    </w:p>
    <w:p>
      <w:pPr>
        <w:pStyle w:val="ListParagraph"/>
        <w:numPr>
          <w:ilvl w:val="0"/>
          <w:numId w:val="2"/>
        </w:numPr>
        <w:spacing w:after="40" w:before="40"/>
      </w:pPr>
      <w:r>
        <w:rPr>
          <w:rFonts w:ascii="Arial" w:cs="Arial" w:eastAsia="Arial" w:hAnsi="Arial"/>
          <w:color w:val="1A1A1A"/>
          <w:sz w:val="22"/>
          <w:szCs w:val="22"/>
        </w:rPr>
        <w:t xml:space="preserve">a confidentiality obligation covering ANIMEX's business information and User data;</w:t>
      </w:r>
    </w:p>
    <w:p>
      <w:pPr>
        <w:pStyle w:val="ListParagraph"/>
        <w:numPr>
          <w:ilvl w:val="0"/>
          <w:numId w:val="2"/>
        </w:numPr>
        <w:spacing w:after="40" w:before="40"/>
      </w:pPr>
      <w:r>
        <w:rPr>
          <w:rFonts w:ascii="Arial" w:cs="Arial" w:eastAsia="Arial" w:hAnsi="Arial"/>
          <w:color w:val="1A1A1A"/>
          <w:sz w:val="22"/>
          <w:szCs w:val="22"/>
        </w:rPr>
        <w:t xml:space="preserve">liability provisions appropriate to the risk profile of the services;</w:t>
      </w:r>
    </w:p>
    <w:p>
      <w:pPr>
        <w:pStyle w:val="ListParagraph"/>
        <w:numPr>
          <w:ilvl w:val="0"/>
          <w:numId w:val="2"/>
        </w:numPr>
        <w:spacing w:after="40" w:before="40"/>
      </w:pPr>
      <w:r>
        <w:rPr>
          <w:rFonts w:ascii="Arial" w:cs="Arial" w:eastAsia="Arial" w:hAnsi="Arial"/>
          <w:color w:val="1A1A1A"/>
          <w:sz w:val="22"/>
          <w:szCs w:val="22"/>
        </w:rPr>
        <w:t xml:space="preserve">a right for ANIMEX to audit compliance with data protection obligations;</w:t>
      </w:r>
    </w:p>
    <w:p>
      <w:pPr>
        <w:pStyle w:val="ListParagraph"/>
        <w:numPr>
          <w:ilvl w:val="0"/>
          <w:numId w:val="2"/>
        </w:numPr>
        <w:spacing w:after="40" w:before="40"/>
      </w:pPr>
      <w:r>
        <w:rPr>
          <w:rFonts w:ascii="Arial" w:cs="Arial" w:eastAsia="Arial" w:hAnsi="Arial"/>
          <w:color w:val="1A1A1A"/>
          <w:sz w:val="22"/>
          <w:szCs w:val="22"/>
        </w:rPr>
        <w:t xml:space="preserve">a data breach notification obligation of no more than 24 hours.</w:t>
      </w:r>
    </w:p>
    <w:p>
      <w:pPr>
        <w:pStyle w:val="Heading2"/>
        <w:spacing w:after="120" w:before="280"/>
      </w:pPr>
      <w:r>
        <w:rPr>
          <w:rFonts w:ascii="Arial" w:cs="Arial" w:eastAsia="Arial" w:hAnsi="Arial"/>
          <w:b/>
          <w:bCs/>
          <w:color w:val="1A1A1A"/>
          <w:sz w:val="26"/>
          <w:szCs w:val="26"/>
        </w:rPr>
        <w:t xml:space="preserve">2.6  Ongoing Monitoring</w:t>
      </w:r>
    </w:p>
    <w:p>
      <w:pPr>
        <w:spacing w:after="80" w:before="80"/>
      </w:pPr>
      <w:r>
        <w:rPr>
          <w:rFonts w:ascii="Arial" w:cs="Arial" w:eastAsia="Arial" w:hAnsi="Arial"/>
          <w:color w:val="1A1A1A"/>
          <w:sz w:val="22"/>
          <w:szCs w:val="22"/>
        </w:rPr>
        <w:t xml:space="preserve">ANIMEX must monitor Tier 1 and Tier 2 vendors on an ongoing basis:</w:t>
      </w:r>
    </w:p>
    <w:p>
      <w:pPr>
        <w:pStyle w:val="ListParagraph"/>
        <w:numPr>
          <w:ilvl w:val="0"/>
          <w:numId w:val="2"/>
        </w:numPr>
        <w:spacing w:after="40" w:before="40"/>
      </w:pPr>
      <w:r>
        <w:rPr>
          <w:rFonts w:ascii="Arial" w:cs="Arial" w:eastAsia="Arial" w:hAnsi="Arial"/>
          <w:color w:val="1A1A1A"/>
          <w:sz w:val="22"/>
          <w:szCs w:val="22"/>
        </w:rPr>
        <w:t xml:space="preserve">subscribe to each vendor's status page and incident notifications;</w:t>
      </w:r>
    </w:p>
    <w:p>
      <w:pPr>
        <w:pStyle w:val="ListParagraph"/>
        <w:numPr>
          <w:ilvl w:val="0"/>
          <w:numId w:val="2"/>
        </w:numPr>
        <w:spacing w:after="40" w:before="40"/>
      </w:pPr>
      <w:r>
        <w:rPr>
          <w:rFonts w:ascii="Arial" w:cs="Arial" w:eastAsia="Arial" w:hAnsi="Arial"/>
          <w:color w:val="1A1A1A"/>
          <w:sz w:val="22"/>
          <w:szCs w:val="22"/>
        </w:rPr>
        <w:t xml:space="preserve">review each vendor's published security advisories and patch schedules;</w:t>
      </w:r>
    </w:p>
    <w:p>
      <w:pPr>
        <w:pStyle w:val="ListParagraph"/>
        <w:numPr>
          <w:ilvl w:val="0"/>
          <w:numId w:val="2"/>
        </w:numPr>
        <w:spacing w:after="40" w:before="40"/>
      </w:pPr>
      <w:r>
        <w:rPr>
          <w:rFonts w:ascii="Arial" w:cs="Arial" w:eastAsia="Arial" w:hAnsi="Arial"/>
          <w:color w:val="1A1A1A"/>
          <w:sz w:val="22"/>
          <w:szCs w:val="22"/>
        </w:rPr>
        <w:t xml:space="preserve">conduct annual due diligence reviews for all Tier 1 and Tier 2 vendors;</w:t>
      </w:r>
    </w:p>
    <w:p>
      <w:pPr>
        <w:pStyle w:val="ListParagraph"/>
        <w:numPr>
          <w:ilvl w:val="0"/>
          <w:numId w:val="2"/>
        </w:numPr>
        <w:spacing w:after="40" w:before="40"/>
      </w:pPr>
      <w:r>
        <w:rPr>
          <w:rFonts w:ascii="Arial" w:cs="Arial" w:eastAsia="Arial" w:hAnsi="Arial"/>
          <w:color w:val="1A1A1A"/>
          <w:sz w:val="22"/>
          <w:szCs w:val="22"/>
        </w:rPr>
        <w:t xml:space="preserve">review contract terms at least 90 (ninety) days before renewal or expiry;</w:t>
      </w:r>
    </w:p>
    <w:p>
      <w:pPr>
        <w:pStyle w:val="ListParagraph"/>
        <w:numPr>
          <w:ilvl w:val="0"/>
          <w:numId w:val="2"/>
        </w:numPr>
        <w:spacing w:after="40" w:before="40"/>
      </w:pPr>
      <w:r>
        <w:rPr>
          <w:rFonts w:ascii="Arial" w:cs="Arial" w:eastAsia="Arial" w:hAnsi="Arial"/>
          <w:color w:val="1A1A1A"/>
          <w:sz w:val="22"/>
          <w:szCs w:val="22"/>
        </w:rPr>
        <w:t xml:space="preserve">immediately escalate to the CTO and Information Officer on receipt of any vendor security incident notification.</w:t>
      </w:r>
    </w:p>
    <w:p>
      <w:pPr>
        <w:pStyle w:val="Heading2"/>
        <w:spacing w:after="120" w:before="280"/>
      </w:pPr>
      <w:r>
        <w:rPr>
          <w:rFonts w:ascii="Arial" w:cs="Arial" w:eastAsia="Arial" w:hAnsi="Arial"/>
          <w:b/>
          <w:bCs/>
          <w:color w:val="1A1A1A"/>
          <w:sz w:val="26"/>
          <w:szCs w:val="26"/>
        </w:rPr>
        <w:t xml:space="preserve">2.7  Vendor Concentration Risk</w:t>
      </w:r>
    </w:p>
    <w:p>
      <w:pPr>
        <w:spacing w:after="80" w:before="80"/>
      </w:pPr>
      <w:r>
        <w:rPr>
          <w:rFonts w:ascii="Arial" w:cs="Arial" w:eastAsia="Arial" w:hAnsi="Arial"/>
          <w:color w:val="1A1A1A"/>
          <w:sz w:val="22"/>
          <w:szCs w:val="22"/>
        </w:rPr>
        <w:t>ANIMEX must assess and manage concentration risk - the risk of over-dependence on any single vendor or geographic region. Where a critical function is provided by a single vendor with no readily available alternative, ANIMEX must:</w:t>
      </w:r>
    </w:p>
    <w:p>
      <w:pPr>
        <w:pStyle w:val="ListParagraph"/>
        <w:numPr>
          <w:ilvl w:val="0"/>
          <w:numId w:val="2"/>
        </w:numPr>
        <w:spacing w:after="40" w:before="40"/>
      </w:pPr>
      <w:r>
        <w:rPr>
          <w:rFonts w:ascii="Arial" w:cs="Arial" w:eastAsia="Arial" w:hAnsi="Arial"/>
          <w:color w:val="1A1A1A"/>
          <w:sz w:val="22"/>
          <w:szCs w:val="22"/>
        </w:rPr>
        <w:t xml:space="preserve">document the concentration risk and its potential impact;</w:t>
      </w:r>
    </w:p>
    <w:p>
      <w:pPr>
        <w:pStyle w:val="ListParagraph"/>
        <w:numPr>
          <w:ilvl w:val="0"/>
          <w:numId w:val="2"/>
        </w:numPr>
        <w:spacing w:after="40" w:before="40"/>
      </w:pPr>
      <w:r>
        <w:rPr>
          <w:rFonts w:ascii="Arial" w:cs="Arial" w:eastAsia="Arial" w:hAnsi="Arial"/>
          <w:color w:val="1A1A1A"/>
          <w:sz w:val="22"/>
          <w:szCs w:val="22"/>
        </w:rPr>
        <w:t xml:space="preserve">maintain exit and migration documentation for the vendor;</w:t>
      </w:r>
    </w:p>
    <w:p>
      <w:pPr>
        <w:pStyle w:val="ListParagraph"/>
        <w:numPr>
          <w:ilvl w:val="0"/>
          <w:numId w:val="2"/>
        </w:numPr>
        <w:spacing w:after="40" w:before="40"/>
      </w:pPr>
      <w:r>
        <w:rPr>
          <w:rFonts w:ascii="Arial" w:cs="Arial" w:eastAsia="Arial" w:hAnsi="Arial"/>
          <w:color w:val="1A1A1A"/>
          <w:sz w:val="22"/>
          <w:szCs w:val="22"/>
        </w:rPr>
        <w:t xml:space="preserve">consider contingency or backup arrangements where commercially practicable;</w:t>
      </w:r>
    </w:p>
    <w:p>
      <w:pPr>
        <w:pStyle w:val="ListParagraph"/>
        <w:numPr>
          <w:ilvl w:val="0"/>
          <w:numId w:val="2"/>
        </w:numPr>
        <w:spacing w:after="40" w:before="40"/>
      </w:pPr>
      <w:r>
        <w:rPr>
          <w:rFonts w:ascii="Arial" w:cs="Arial" w:eastAsia="Arial" w:hAnsi="Arial"/>
          <w:color w:val="1A1A1A"/>
          <w:sz w:val="22"/>
          <w:szCs w:val="22"/>
        </w:rPr>
        <w:t xml:space="preserve">escalate the concentration risk to the CEO annually.</w:t>
      </w:r>
    </w:p>
    <w:p>
      <w:pPr>
        <w:pStyle w:val="Heading2"/>
        <w:spacing w:after="120" w:before="280"/>
      </w:pPr>
      <w:r>
        <w:rPr>
          <w:rFonts w:ascii="Arial" w:cs="Arial" w:eastAsia="Arial" w:hAnsi="Arial"/>
          <w:b/>
          <w:bCs/>
          <w:color w:val="1A1A1A"/>
          <w:sz w:val="26"/>
          <w:szCs w:val="26"/>
        </w:rPr>
        <w:t xml:space="preserve">2.8  Vendor Exit</w:t>
      </w:r>
    </w:p>
    <w:p>
      <w:pPr>
        <w:spacing w:after="80" w:before="80"/>
      </w:pPr>
      <w:r>
        <w:rPr>
          <w:rFonts w:ascii="Arial" w:cs="Arial" w:eastAsia="Arial" w:hAnsi="Arial"/>
          <w:color w:val="1A1A1A"/>
          <w:sz w:val="22"/>
          <w:szCs w:val="22"/>
        </w:rPr>
        <w:t xml:space="preserve">Before exiting any Tier 1 or Tier 2 vendor, ANIMEX must:</w:t>
      </w:r>
    </w:p>
    <w:p>
      <w:pPr>
        <w:pStyle w:val="ListParagraph"/>
        <w:numPr>
          <w:ilvl w:val="0"/>
          <w:numId w:val="2"/>
        </w:numPr>
        <w:spacing w:after="40" w:before="40"/>
      </w:pPr>
      <w:r>
        <w:rPr>
          <w:rFonts w:ascii="Arial" w:cs="Arial" w:eastAsia="Arial" w:hAnsi="Arial"/>
          <w:color w:val="1A1A1A"/>
          <w:sz w:val="22"/>
          <w:szCs w:val="22"/>
        </w:rPr>
        <w:t xml:space="preserve">ensure all ANIMEX User personal information is exported, migrated, or confirmed deleted by the vendor;</w:t>
      </w:r>
    </w:p>
    <w:p>
      <w:pPr>
        <w:pStyle w:val="ListParagraph"/>
        <w:numPr>
          <w:ilvl w:val="0"/>
          <w:numId w:val="2"/>
        </w:numPr>
        <w:spacing w:after="40" w:before="40"/>
      </w:pPr>
      <w:r>
        <w:rPr>
          <w:rFonts w:ascii="Arial" w:cs="Arial" w:eastAsia="Arial" w:hAnsi="Arial"/>
          <w:color w:val="1A1A1A"/>
          <w:sz w:val="22"/>
          <w:szCs w:val="22"/>
        </w:rPr>
        <w:t xml:space="preserve">obtain written confirmation from the vendor of data destruction or return;</w:t>
      </w:r>
    </w:p>
    <w:p>
      <w:pPr>
        <w:pStyle w:val="ListParagraph"/>
        <w:numPr>
          <w:ilvl w:val="0"/>
          <w:numId w:val="2"/>
        </w:numPr>
        <w:spacing w:after="40" w:before="40"/>
      </w:pPr>
      <w:r>
        <w:rPr>
          <w:rFonts w:ascii="Arial" w:cs="Arial" w:eastAsia="Arial" w:hAnsi="Arial"/>
          <w:color w:val="1A1A1A"/>
          <w:sz w:val="22"/>
          <w:szCs w:val="22"/>
        </w:rPr>
        <w:t xml:space="preserve">verify all contractual obligations between ANIMEX and the vendor have been met;</w:t>
      </w:r>
    </w:p>
    <w:p>
      <w:pPr>
        <w:pStyle w:val="ListParagraph"/>
        <w:numPr>
          <w:ilvl w:val="0"/>
          <w:numId w:val="2"/>
        </w:numPr>
        <w:spacing w:after="40" w:before="40"/>
      </w:pPr>
      <w:r>
        <w:rPr>
          <w:rFonts w:ascii="Arial" w:cs="Arial" w:eastAsia="Arial" w:hAnsi="Arial"/>
          <w:color w:val="1A1A1A"/>
          <w:sz w:val="22"/>
          <w:szCs w:val="22"/>
        </w:rPr>
        <w:t xml:space="preserve">confirm that the replacement vendor or internal solution is operational before terminating critical services;</w:t>
      </w:r>
    </w:p>
    <w:p>
      <w:pPr>
        <w:pStyle w:val="ListParagraph"/>
        <w:numPr>
          <w:ilvl w:val="0"/>
          <w:numId w:val="2"/>
        </w:numPr>
        <w:spacing w:after="40" w:before="40"/>
      </w:pPr>
      <w:r>
        <w:rPr>
          <w:rFonts w:ascii="Arial" w:cs="Arial" w:eastAsia="Arial" w:hAnsi="Arial"/>
          <w:color w:val="1A1A1A"/>
          <w:sz w:val="22"/>
          <w:szCs w:val="22"/>
        </w:rPr>
        <w:t xml:space="preserve">update the Vendor Register and BCP contact register.</w:t>
      </w:r>
    </w:p>
    <w:p>
      <w:pPr>
        <w:pStyle w:val="Heading2"/>
        <w:spacing w:after="120" w:before="280"/>
      </w:pPr>
      <w:r>
        <w:rPr>
          <w:rFonts w:ascii="Arial" w:cs="Arial" w:eastAsia="Arial" w:hAnsi="Arial"/>
          <w:b/>
          <w:bCs/>
          <w:color w:val="1A1A1A"/>
          <w:sz w:val="26"/>
          <w:szCs w:val="26"/>
        </w:rPr>
        <w:t xml:space="preserve">2.9  New Vendor Approval</w:t>
      </w:r>
    </w:p>
    <w:p>
      <w:pPr>
        <w:spacing w:after="80" w:before="80"/>
      </w:pPr>
      <w:r>
        <w:rPr>
          <w:rFonts w:ascii="Arial" w:cs="Arial" w:eastAsia="Arial" w:hAnsi="Arial"/>
          <w:color w:val="1A1A1A"/>
          <w:sz w:val="22"/>
          <w:szCs w:val="22"/>
        </w:rPr>
        <w:t xml:space="preserve">No new Tier 1 or Tier 2 vendor may be onboarded without written approval from the CEO and CTO. No vendor that processes User personal information may be onboarded without a signed DPA and the Information Officer's written confirmation that the vendor arrangement is POPIA-compliant.</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3.  Anti-Bribery and Corruption Policy</w:t>
      </w:r>
    </w:p>
    <w:p>
      <w:pPr>
        <w:pStyle w:val="Heading2"/>
        <w:spacing w:after="120" w:before="280"/>
      </w:pPr>
      <w:r>
        <w:rPr>
          <w:rFonts w:ascii="Arial" w:cs="Arial" w:eastAsia="Arial" w:hAnsi="Arial"/>
          <w:b/>
          <w:bCs/>
          <w:color w:val="1A1A1A"/>
          <w:sz w:val="26"/>
          <w:szCs w:val="26"/>
        </w:rPr>
        <w:t xml:space="preserve">3.1  Purpose and Legal Basis</w:t>
      </w:r>
    </w:p>
    <w:p>
      <w:pPr>
        <w:spacing w:after="80" w:before="80"/>
      </w:pPr>
      <w:r>
        <w:rPr>
          <w:rFonts w:ascii="Arial" w:cs="Arial" w:eastAsia="Arial" w:hAnsi="Arial"/>
          <w:color w:val="1A1A1A"/>
          <w:sz w:val="22"/>
          <w:szCs w:val="22"/>
        </w:rPr>
        <w:t xml:space="preserve">This policy sets out ANIMEX's zero-tolerance approach to bribery and corruption in all business dealings. It is established in compliance with the Prevention and Combating of Corrupt Activities Act 12 of 2004 (PRECCA), which imposes criminal liability on persons who give, offer, or receive corrupt gratification in connection with any position, contract, or business decision.</w:t>
      </w:r>
    </w:p>
    <w:p>
      <w:pPr>
        <w:spacing w:after="80" w:before="80"/>
      </w:pPr>
      <w:r>
        <w:rPr>
          <w:rFonts w:ascii="Arial" w:cs="Arial" w:eastAsia="Arial" w:hAnsi="Arial"/>
          <w:color w:val="1A1A1A"/>
          <w:sz w:val="22"/>
          <w:szCs w:val="22"/>
        </w:rPr>
        <w:t xml:space="preserve">This policy applies to all directors, employees, contractors, platform administrators, support agents, and any person acting on behalf of ANIMEX.</w:t>
      </w:r>
    </w:p>
    <w:p>
      <w:pPr>
        <w:pStyle w:val="Heading2"/>
        <w:spacing w:after="120" w:before="280"/>
      </w:pPr>
      <w:r>
        <w:rPr>
          <w:rFonts w:ascii="Arial" w:cs="Arial" w:eastAsia="Arial" w:hAnsi="Arial"/>
          <w:b/>
          <w:bCs/>
          <w:color w:val="1A1A1A"/>
          <w:sz w:val="26"/>
          <w:szCs w:val="26"/>
        </w:rPr>
        <w:t xml:space="preserve">3.2  Prohibited Conduct</w:t>
      </w:r>
    </w:p>
    <w:p>
      <w:pPr>
        <w:spacing w:after="80" w:before="80"/>
      </w:pPr>
      <w:r>
        <w:rPr>
          <w:rFonts w:ascii="Arial" w:cs="Arial" w:eastAsia="Arial" w:hAnsi="Arial"/>
          <w:color w:val="1A1A1A"/>
          <w:sz w:val="22"/>
          <w:szCs w:val="22"/>
        </w:rPr>
        <w:t xml:space="preserve">No Staff member or person acting for ANIMEX may:</w:t>
      </w:r>
    </w:p>
    <w:p>
      <w:pPr>
        <w:pStyle w:val="ListParagraph"/>
        <w:numPr>
          <w:ilvl w:val="0"/>
          <w:numId w:val="2"/>
        </w:numPr>
        <w:spacing w:after="40" w:before="40"/>
      </w:pPr>
      <w:r>
        <w:rPr>
          <w:rFonts w:ascii="Arial" w:cs="Arial" w:eastAsia="Arial" w:hAnsi="Arial"/>
          <w:color w:val="1A1A1A"/>
          <w:sz w:val="22"/>
          <w:szCs w:val="22"/>
        </w:rPr>
        <w:t>offer, promise, pay, authorise, or receive any bribe, kickback, facilitation payment, or other corrupt gratification to or from any person - public official, regulator, User, partner, vendor, or otherwise - in connection with any business, Platform, or operational decision;</w:t>
      </w:r>
    </w:p>
    <w:p>
      <w:pPr>
        <w:pStyle w:val="ListParagraph"/>
        <w:numPr>
          <w:ilvl w:val="0"/>
          <w:numId w:val="2"/>
        </w:numPr>
        <w:spacing w:after="40" w:before="40"/>
      </w:pPr>
      <w:r>
        <w:rPr>
          <w:rFonts w:ascii="Arial" w:cs="Arial" w:eastAsia="Arial" w:hAnsi="Arial"/>
          <w:color w:val="1A1A1A"/>
          <w:sz w:val="22"/>
          <w:szCs w:val="22"/>
        </w:rPr>
        <w:t xml:space="preserve">accept any gift, hospitality, or benefit that could be perceived as influencing a business or Platform decision;</w:t>
      </w:r>
    </w:p>
    <w:p>
      <w:pPr>
        <w:pStyle w:val="ListParagraph"/>
        <w:numPr>
          <w:ilvl w:val="0"/>
          <w:numId w:val="2"/>
        </w:numPr>
        <w:spacing w:after="40" w:before="40"/>
      </w:pPr>
      <w:r>
        <w:rPr>
          <w:rFonts w:ascii="Arial" w:cs="Arial" w:eastAsia="Arial" w:hAnsi="Arial"/>
          <w:color w:val="1A1A1A"/>
          <w:sz w:val="22"/>
          <w:szCs w:val="22"/>
        </w:rPr>
        <w:t xml:space="preserve">use intermediaries, agents, or third parties to pay bribes or engage in corrupt conduct that ANIMEX itself is prohibited from;</w:t>
      </w:r>
    </w:p>
    <w:p>
      <w:pPr>
        <w:pStyle w:val="ListParagraph"/>
        <w:numPr>
          <w:ilvl w:val="0"/>
          <w:numId w:val="2"/>
        </w:numPr>
        <w:spacing w:after="40" w:before="40"/>
      </w:pPr>
      <w:r>
        <w:rPr>
          <w:rFonts w:ascii="Arial" w:cs="Arial" w:eastAsia="Arial" w:hAnsi="Arial"/>
          <w:color w:val="1A1A1A"/>
          <w:sz w:val="22"/>
          <w:szCs w:val="22"/>
        </w:rPr>
        <w:t xml:space="preserve">engage in any conduct that constitutes corruption under PRECCA, including: offering, giving, receiving, or agreeing to receive a gratification to influence a person in their capacity; corrupt activities in relation to contracts, tenders, or positions; and corruption in connection with any licence, permit, or regulatory outcome;</w:t>
      </w:r>
    </w:p>
    <w:p>
      <w:pPr>
        <w:pStyle w:val="ListParagraph"/>
        <w:numPr>
          <w:ilvl w:val="0"/>
          <w:numId w:val="2"/>
        </w:numPr>
        <w:spacing w:after="40" w:before="40"/>
      </w:pPr>
      <w:r>
        <w:rPr>
          <w:rFonts w:ascii="Arial" w:cs="Arial" w:eastAsia="Arial" w:hAnsi="Arial"/>
          <w:color w:val="1A1A1A"/>
          <w:sz w:val="22"/>
          <w:szCs w:val="22"/>
        </w:rPr>
        <w:t xml:space="preserve">make political contributions on ANIMEX's behalf without Board approval and full legal review;</w:t>
      </w:r>
    </w:p>
    <w:p>
      <w:pPr>
        <w:pStyle w:val="ListParagraph"/>
        <w:numPr>
          <w:ilvl w:val="0"/>
          <w:numId w:val="2"/>
        </w:numPr>
        <w:spacing w:after="40" w:before="40"/>
      </w:pPr>
      <w:r>
        <w:rPr>
          <w:rFonts w:ascii="Arial" w:cs="Arial" w:eastAsia="Arial" w:hAnsi="Arial"/>
          <w:color w:val="1A1A1A"/>
          <w:sz w:val="22"/>
          <w:szCs w:val="22"/>
        </w:rPr>
        <w:t xml:space="preserve">retaliate against any person who refuses to engage in corrupt conduct or who reports a concern in good faith.</w:t>
      </w:r>
    </w:p>
    <w:p>
      <w:pPr>
        <w:pStyle w:val="Heading2"/>
        <w:spacing w:after="120" w:before="280"/>
      </w:pPr>
      <w:r>
        <w:rPr>
          <w:rFonts w:ascii="Arial" w:cs="Arial" w:eastAsia="Arial" w:hAnsi="Arial"/>
          <w:b/>
          <w:bCs/>
          <w:color w:val="1A1A1A"/>
          <w:sz w:val="26"/>
          <w:szCs w:val="26"/>
        </w:rPr>
        <w:t xml:space="preserve">3.3  Gifts and Hospitality</w:t>
      </w:r>
    </w:p>
    <w:p>
      <w:pPr>
        <w:spacing w:after="80" w:before="80"/>
      </w:pPr>
      <w:r>
        <w:rPr>
          <w:rFonts w:ascii="Arial" w:cs="Arial" w:eastAsia="Arial" w:hAnsi="Arial"/>
          <w:color w:val="1A1A1A"/>
          <w:sz w:val="22"/>
          <w:szCs w:val="22"/>
        </w:rPr>
        <w:t xml:space="preserve">Staff may only accept gifts or hospitality that:</w:t>
      </w:r>
    </w:p>
    <w:p>
      <w:pPr>
        <w:pStyle w:val="ListParagraph"/>
        <w:numPr>
          <w:ilvl w:val="0"/>
          <w:numId w:val="2"/>
        </w:numPr>
        <w:spacing w:after="40" w:before="40"/>
      </w:pPr>
      <w:r>
        <w:rPr>
          <w:rFonts w:ascii="Arial" w:cs="Arial" w:eastAsia="Arial" w:hAnsi="Arial"/>
          <w:color w:val="1A1A1A"/>
          <w:sz w:val="22"/>
          <w:szCs w:val="22"/>
        </w:rPr>
        <w:t>are of modest and reasonable market value (not exceeding ACTION REQUIRED: insert approved Rand amount from the live Fee Schedule or Delegations Register in any single instance or ACTION REQUIRED: insert approved Rand amount from the live Fee Schedule or Delegations Register from the same source in any 12-month period);</w:t>
      </w:r>
    </w:p>
    <w:p>
      <w:pPr>
        <w:pStyle w:val="ListParagraph"/>
        <w:numPr>
          <w:ilvl w:val="0"/>
          <w:numId w:val="2"/>
        </w:numPr>
        <w:spacing w:after="40" w:before="40"/>
      </w:pPr>
      <w:r>
        <w:rPr>
          <w:rFonts w:ascii="Arial" w:cs="Arial" w:eastAsia="Arial" w:hAnsi="Arial"/>
          <w:color w:val="1A1A1A"/>
          <w:sz w:val="22"/>
          <w:szCs w:val="22"/>
        </w:rPr>
        <w:t xml:space="preserve">are not cash, cash equivalents, gift cards, vouchers, or loans;</w:t>
      </w:r>
    </w:p>
    <w:p>
      <w:pPr>
        <w:pStyle w:val="ListParagraph"/>
        <w:numPr>
          <w:ilvl w:val="0"/>
          <w:numId w:val="2"/>
        </w:numPr>
        <w:spacing w:after="40" w:before="40"/>
      </w:pPr>
      <w:r>
        <w:rPr>
          <w:rFonts w:ascii="Arial" w:cs="Arial" w:eastAsia="Arial" w:hAnsi="Arial"/>
          <w:color w:val="1A1A1A"/>
          <w:sz w:val="22"/>
          <w:szCs w:val="22"/>
        </w:rPr>
        <w:t xml:space="preserve">are offered in a legitimate business context and would not embarrass ANIMEX if publicly disclosed;</w:t>
      </w:r>
    </w:p>
    <w:p>
      <w:pPr>
        <w:pStyle w:val="ListParagraph"/>
        <w:numPr>
          <w:ilvl w:val="0"/>
          <w:numId w:val="2"/>
        </w:numPr>
        <w:spacing w:after="40" w:before="40"/>
      </w:pPr>
      <w:r>
        <w:rPr>
          <w:rFonts w:ascii="Arial" w:cs="Arial" w:eastAsia="Arial" w:hAnsi="Arial"/>
          <w:color w:val="1A1A1A"/>
          <w:sz w:val="22"/>
          <w:szCs w:val="22"/>
        </w:rPr>
        <w:t xml:space="preserve">are not offered by any User, partner, or vendor involved in a current or recent Platform decision, dispute, verification, or transaction.</w:t>
      </w:r>
    </w:p>
    <w:p>
      <w:pPr>
        <w:spacing w:after="80" w:before="80"/>
      </w:pPr>
      <w:r>
        <w:rPr>
          <w:rFonts w:ascii="Arial" w:cs="Arial" w:eastAsia="Arial" w:hAnsi="Arial"/>
          <w:color w:val="1A1A1A"/>
          <w:sz w:val="22"/>
          <w:szCs w:val="22"/>
        </w:rPr>
        <w:t>All gifts or hospitality received above ACTION REQUIRED: insert approved Rand amount from the live Fee Schedule or Delegations Register must be declared in writing to the CEO within 5 (five) business days. The CEO maintains a Gifts Register.</w:t>
      </w:r>
    </w:p>
    <w:p>
      <w:pPr>
        <w:shd w:fill="EEF4FB" w:val="clear"/>
        <w:spacing w:after="80" w:before="80"/>
        <w:ind w:left="360" w:right="360"/>
      </w:pPr>
      <w:r>
        <w:rPr>
          <w:rFonts w:ascii="Arial" w:cs="Arial" w:eastAsia="Arial" w:hAnsi="Arial"/>
          <w:i/>
          <w:iCs/>
          <w:color w:val="2F5496"/>
          <w:sz w:val="20"/>
          <w:szCs w:val="20"/>
        </w:rPr>
        <w:t xml:space="preserve">INTERNAL NOTE: Set appropriate monetary thresholds with reference to ANIMEX's business size and the PRECCA guidance.</w:t>
      </w:r>
    </w:p>
    <w:p>
      <w:pPr>
        <w:pStyle w:val="Heading2"/>
        <w:spacing w:after="120" w:before="280"/>
      </w:pPr>
      <w:r>
        <w:rPr>
          <w:rFonts w:ascii="Arial" w:cs="Arial" w:eastAsia="Arial" w:hAnsi="Arial"/>
          <w:b/>
          <w:bCs/>
          <w:color w:val="1A1A1A"/>
          <w:sz w:val="26"/>
          <w:szCs w:val="26"/>
        </w:rPr>
        <w:t xml:space="preserve">3.4  Public Officials</w:t>
      </w:r>
    </w:p>
    <w:p>
      <w:pPr>
        <w:spacing w:after="80" w:before="80"/>
      </w:pPr>
      <w:r>
        <w:rPr>
          <w:rFonts w:ascii="Arial" w:cs="Arial" w:eastAsia="Arial" w:hAnsi="Arial"/>
          <w:color w:val="1A1A1A"/>
          <w:sz w:val="22"/>
          <w:szCs w:val="22"/>
        </w:rPr>
        <w:t>ANIMEX requires heightened caution when dealing with public officials, including government employees, regulators, permit-issuing authorities, welfare inspectors, and law enforcement. No facilitation payment - however small - may be made to a public official to expedite a routine government action. Any request by a public official for a payment, gift, or benefit must be immediately reported to the CEO and ANIMEX's legal adviser.</w:t>
      </w:r>
    </w:p>
    <w:p>
      <w:pPr>
        <w:pStyle w:val="Heading2"/>
        <w:spacing w:after="120" w:before="280"/>
      </w:pPr>
      <w:r>
        <w:rPr>
          <w:rFonts w:ascii="Arial" w:cs="Arial" w:eastAsia="Arial" w:hAnsi="Arial"/>
          <w:b/>
          <w:bCs/>
          <w:color w:val="1A1A1A"/>
          <w:sz w:val="26"/>
          <w:szCs w:val="26"/>
        </w:rPr>
        <w:t xml:space="preserve">3.5  Reporting Obligations under PRECCA</w:t>
      </w:r>
    </w:p>
    <w:p>
      <w:pPr>
        <w:spacing w:after="80" w:before="80"/>
      </w:pPr>
      <w:r>
        <w:rPr>
          <w:rFonts w:ascii="Arial" w:cs="Arial" w:eastAsia="Arial" w:hAnsi="Arial"/>
          <w:color w:val="1A1A1A"/>
          <w:sz w:val="22"/>
          <w:szCs w:val="22"/>
        </w:rPr>
        <w:t xml:space="preserve">Under section 34 of PRECCA, any person in a position of authority who knows or reasonably suspects that an offence of corruption, theft, fraud, extortion, forgery, or uttering a forged document above R100,000 (or any amount) has been committed, must report this to the South African Police Service as soon as reasonably possible. ANIMEX's CEO and Information Officer are responsible for ensuring this obligation is met where triggered.</w:t>
      </w:r>
    </w:p>
    <w:p>
      <w:pPr>
        <w:pStyle w:val="Heading2"/>
        <w:spacing w:after="120" w:before="280"/>
      </w:pPr>
      <w:r>
        <w:rPr>
          <w:rFonts w:ascii="Arial" w:cs="Arial" w:eastAsia="Arial" w:hAnsi="Arial"/>
          <w:b/>
          <w:bCs/>
          <w:color w:val="1A1A1A"/>
          <w:sz w:val="26"/>
          <w:szCs w:val="26"/>
        </w:rPr>
        <w:t xml:space="preserve">3.6  Due Diligence on Partners and Agents</w:t>
      </w:r>
    </w:p>
    <w:p>
      <w:pPr>
        <w:spacing w:after="80" w:before="80"/>
      </w:pPr>
      <w:r>
        <w:rPr>
          <w:rFonts w:ascii="Arial" w:cs="Arial" w:eastAsia="Arial" w:hAnsi="Arial"/>
          <w:color w:val="1A1A1A"/>
          <w:sz w:val="22"/>
          <w:szCs w:val="22"/>
        </w:rPr>
        <w:t xml:space="preserve">Before engaging any commercial partner, reseller, agent, or intermediary who will represent ANIMEX or act in ANIMEX's name, ANIMEX must conduct adequate anti-corruption due diligence, including: confirming the partner's identity and beneficial ownership; assessing any prior corruption, fraud, or regulatory violations; and requiring the partner to confirm in writing their compliance with applicable anti-corruption law.</w:t>
      </w:r>
    </w:p>
    <w:p>
      <w:pPr>
        <w:pStyle w:val="Heading2"/>
        <w:spacing w:after="120" w:before="280"/>
      </w:pPr>
      <w:r>
        <w:rPr>
          <w:rFonts w:ascii="Arial" w:cs="Arial" w:eastAsia="Arial" w:hAnsi="Arial"/>
          <w:b/>
          <w:bCs/>
          <w:color w:val="1A1A1A"/>
          <w:sz w:val="26"/>
          <w:szCs w:val="26"/>
        </w:rPr>
        <w:t xml:space="preserve">3.7  Training</w:t>
      </w:r>
    </w:p>
    <w:p>
      <w:pPr>
        <w:spacing w:after="80" w:before="80"/>
      </w:pPr>
      <w:r>
        <w:rPr>
          <w:rFonts w:ascii="Arial" w:cs="Arial" w:eastAsia="Arial" w:hAnsi="Arial"/>
          <w:color w:val="1A1A1A"/>
          <w:sz w:val="22"/>
          <w:szCs w:val="22"/>
        </w:rPr>
        <w:t xml:space="preserve">All Staff with authority over Platform decisions, User verifications, payment approvals, or vendor engagement must receive anti-bribery training at induction and at least every 2 (two) years thereafter.</w:t>
      </w:r>
    </w:p>
    <w:p>
      <w:pPr>
        <w:pStyle w:val="Heading2"/>
        <w:spacing w:after="120" w:before="280"/>
      </w:pPr>
      <w:r>
        <w:rPr>
          <w:rFonts w:ascii="Arial" w:cs="Arial" w:eastAsia="Arial" w:hAnsi="Arial"/>
          <w:b/>
          <w:bCs/>
          <w:color w:val="1A1A1A"/>
          <w:sz w:val="26"/>
          <w:szCs w:val="26"/>
        </w:rPr>
        <w:t xml:space="preserve">3.8  Reporting and Investigation</w:t>
      </w:r>
    </w:p>
    <w:p>
      <w:pPr>
        <w:spacing w:after="80" w:before="80"/>
      </w:pPr>
      <w:r>
        <w:rPr>
          <w:rFonts w:ascii="Arial" w:cs="Arial" w:eastAsia="Arial" w:hAnsi="Arial"/>
          <w:color w:val="1A1A1A"/>
          <w:sz w:val="22"/>
          <w:szCs w:val="22"/>
        </w:rPr>
        <w:t xml:space="preserve">Suspected bribery or corruption must be reported immediately through the Whistleblower channel (Compliance Pack, Section 7) or directly to the CEO. Reports involving the CEO must be escalated to the Board. All reports are investigated promptly and treated confidentially. Substantiated corruption will result in termination, referral to the SAPS, and cooperation with prosecuting authorities.</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4.  Conflicts of Interest Policy</w:t>
      </w:r>
    </w:p>
    <w:p>
      <w:pPr>
        <w:pStyle w:val="Heading2"/>
        <w:spacing w:after="120" w:before="280"/>
      </w:pPr>
      <w:r>
        <w:rPr>
          <w:rFonts w:ascii="Arial" w:cs="Arial" w:eastAsia="Arial" w:hAnsi="Arial"/>
          <w:b/>
          <w:bCs/>
          <w:color w:val="1A1A1A"/>
          <w:sz w:val="26"/>
          <w:szCs w:val="26"/>
        </w:rPr>
        <w:t xml:space="preserve">4.1  Purpose</w:t>
      </w:r>
    </w:p>
    <w:p>
      <w:pPr>
        <w:spacing w:after="80" w:before="80"/>
      </w:pPr>
      <w:r>
        <w:rPr>
          <w:rFonts w:ascii="Arial" w:cs="Arial" w:eastAsia="Arial" w:hAnsi="Arial"/>
          <w:color w:val="1A1A1A"/>
          <w:sz w:val="22"/>
          <w:szCs w:val="22"/>
        </w:rPr>
        <w:t xml:space="preserve">This policy ensures that actual, potential, and perceived conflicts of interest are identified, disclosed, managed, and recorded to protect ANIMEX, its Users, and the integrity of Platform decisions. It applies to all directors, Staff, contractors, and advisers.</w:t>
      </w:r>
    </w:p>
    <w:p>
      <w:pPr>
        <w:spacing w:after="80" w:before="80"/>
      </w:pPr>
      <w:r>
        <w:rPr>
          <w:rFonts w:ascii="Arial" w:cs="Arial" w:eastAsia="Arial" w:hAnsi="Arial"/>
          <w:color w:val="1A1A1A"/>
          <w:sz w:val="22"/>
          <w:szCs w:val="22"/>
        </w:rPr>
        <w:t xml:space="preserve">This policy is read together with the Admin and Staff Acceptable Use Policy (Compliance Pack, Section 4) and the Anti-Bribery and Corruption Policy (this pack, Section 3).</w:t>
      </w:r>
    </w:p>
    <w:p>
      <w:pPr>
        <w:pStyle w:val="Heading2"/>
        <w:spacing w:after="120" w:before="280"/>
      </w:pPr>
      <w:r>
        <w:rPr>
          <w:rFonts w:ascii="Arial" w:cs="Arial" w:eastAsia="Arial" w:hAnsi="Arial"/>
          <w:b/>
          <w:bCs/>
          <w:color w:val="1A1A1A"/>
          <w:sz w:val="26"/>
          <w:szCs w:val="26"/>
        </w:rPr>
        <w:t xml:space="preserve">4.2  What Constitutes a Conflict</w:t>
      </w:r>
    </w:p>
    <w:p>
      <w:pPr>
        <w:spacing w:after="80" w:before="80"/>
      </w:pPr>
      <w:r>
        <w:rPr>
          <w:rFonts w:ascii="Arial" w:cs="Arial" w:eastAsia="Arial" w:hAnsi="Arial"/>
          <w:color w:val="1A1A1A"/>
          <w:sz w:val="22"/>
          <w:szCs w:val="22"/>
        </w:rPr>
        <w:t>A conflict of interest arises where a person's personal, financial, professional, or family interests could - actually, potentially, or in perception - improperly influence their judgment, decisions, or actions in their ANIMEX role. This includes:</w:t>
      </w:r>
    </w:p>
    <w:p>
      <w:pPr>
        <w:pStyle w:val="ListParagraph"/>
        <w:numPr>
          <w:ilvl w:val="0"/>
          <w:numId w:val="2"/>
        </w:numPr>
        <w:spacing w:after="40" w:before="40"/>
      </w:pPr>
      <w:r>
        <w:rPr>
          <w:rFonts w:ascii="Arial" w:cs="Arial" w:eastAsia="Arial" w:hAnsi="Arial"/>
          <w:color w:val="1A1A1A"/>
          <w:sz w:val="22"/>
          <w:szCs w:val="22"/>
        </w:rPr>
        <w:t xml:space="preserve">a personal, romantic, familial, or close social relationship with a User, Buyer, Seller, Welfare Partner, Verified Breeder, Vet Partner, or vendor who is the subject of a Platform decision;</w:t>
      </w:r>
    </w:p>
    <w:p>
      <w:pPr>
        <w:pStyle w:val="ListParagraph"/>
        <w:numPr>
          <w:ilvl w:val="0"/>
          <w:numId w:val="2"/>
        </w:numPr>
        <w:spacing w:after="40" w:before="40"/>
      </w:pPr>
      <w:r>
        <w:rPr>
          <w:rFonts w:ascii="Arial" w:cs="Arial" w:eastAsia="Arial" w:hAnsi="Arial"/>
          <w:color w:val="1A1A1A"/>
          <w:sz w:val="22"/>
          <w:szCs w:val="22"/>
        </w:rPr>
        <w:t xml:space="preserve">a direct or indirect financial interest in an Animal transaction, Listing, Dispute outcome, payout decision, or fee configuration that the person is involved in;</w:t>
      </w:r>
    </w:p>
    <w:p>
      <w:pPr>
        <w:pStyle w:val="ListParagraph"/>
        <w:numPr>
          <w:ilvl w:val="0"/>
          <w:numId w:val="2"/>
        </w:numPr>
        <w:spacing w:after="40" w:before="40"/>
      </w:pPr>
      <w:r>
        <w:rPr>
          <w:rFonts w:ascii="Arial" w:cs="Arial" w:eastAsia="Arial" w:hAnsi="Arial"/>
          <w:color w:val="1A1A1A"/>
          <w:sz w:val="22"/>
          <w:szCs w:val="22"/>
        </w:rPr>
        <w:t xml:space="preserve">simultaneous employment, directorship, ownership, or advisory role at a competing platform, animal marketplace, or business with a material commercial interest in ANIMEX's decisions;</w:t>
      </w:r>
    </w:p>
    <w:p>
      <w:pPr>
        <w:pStyle w:val="ListParagraph"/>
        <w:numPr>
          <w:ilvl w:val="0"/>
          <w:numId w:val="2"/>
        </w:numPr>
        <w:spacing w:after="40" w:before="40"/>
      </w:pPr>
      <w:r>
        <w:rPr>
          <w:rFonts w:ascii="Arial" w:cs="Arial" w:eastAsia="Arial" w:hAnsi="Arial"/>
          <w:color w:val="1A1A1A"/>
          <w:sz w:val="22"/>
          <w:szCs w:val="22"/>
        </w:rPr>
        <w:t xml:space="preserve">receipt of personal benefits, gifts, or hospitality from a User, vendor, or partner above the threshold in the Anti-Bribery Policy;</w:t>
      </w:r>
    </w:p>
    <w:p>
      <w:pPr>
        <w:pStyle w:val="ListParagraph"/>
        <w:numPr>
          <w:ilvl w:val="0"/>
          <w:numId w:val="2"/>
        </w:numPr>
        <w:spacing w:after="40" w:before="40"/>
      </w:pPr>
      <w:r>
        <w:rPr>
          <w:rFonts w:ascii="Arial" w:cs="Arial" w:eastAsia="Arial" w:hAnsi="Arial"/>
          <w:color w:val="1A1A1A"/>
          <w:sz w:val="22"/>
          <w:szCs w:val="22"/>
        </w:rPr>
        <w:t xml:space="preserve">business, investment, or creditor relationships with Users or vendors that could influence Platform decisions.</w:t>
      </w:r>
    </w:p>
    <w:p>
      <w:pPr>
        <w:pStyle w:val="Heading2"/>
        <w:spacing w:after="120" w:before="280"/>
      </w:pPr>
      <w:r>
        <w:rPr>
          <w:rFonts w:ascii="Arial" w:cs="Arial" w:eastAsia="Arial" w:hAnsi="Arial"/>
          <w:b/>
          <w:bCs/>
          <w:color w:val="1A1A1A"/>
          <w:sz w:val="26"/>
          <w:szCs w:val="26"/>
        </w:rPr>
        <w:t xml:space="preserve">4.3  Disclosure Obligations</w:t>
      </w:r>
    </w:p>
    <w:p>
      <w:pPr>
        <w:spacing w:after="80" w:before="80"/>
      </w:pPr>
      <w:r>
        <w:rPr>
          <w:rFonts w:ascii="Arial" w:cs="Arial" w:eastAsia="Arial" w:hAnsi="Arial"/>
          <w:color w:val="1A1A1A"/>
          <w:sz w:val="22"/>
          <w:szCs w:val="22"/>
        </w:rPr>
        <w:t xml:space="preserve">Any Staff member, director, or contractor who identifies an actual or potential conflict must:</w:t>
      </w:r>
    </w:p>
    <w:p>
      <w:pPr>
        <w:pStyle w:val="ListParagraph"/>
        <w:numPr>
          <w:ilvl w:val="0"/>
          <w:numId w:val="3"/>
        </w:numPr>
        <w:spacing w:after="40" w:before="40"/>
      </w:pPr>
      <w:r>
        <w:rPr>
          <w:rFonts w:ascii="Arial" w:cs="Arial" w:eastAsia="Arial" w:hAnsi="Arial"/>
          <w:color w:val="1A1A1A"/>
          <w:sz w:val="22"/>
          <w:szCs w:val="22"/>
        </w:rPr>
        <w:t>Disclose the conflict in writing to their direct manager and the Information Officer (or to the CEO if the conflict involves the Information Officer) as soon as it arises or becomes apparent - and in any event before taking any action affected by the conflict;</w:t>
      </w:r>
    </w:p>
    <w:p>
      <w:pPr>
        <w:pStyle w:val="ListParagraph"/>
        <w:numPr>
          <w:ilvl w:val="0"/>
          <w:numId w:val="3"/>
        </w:numPr>
        <w:spacing w:after="40" w:before="40"/>
      </w:pPr>
      <w:r>
        <w:rPr>
          <w:rFonts w:ascii="Arial" w:cs="Arial" w:eastAsia="Arial" w:hAnsi="Arial"/>
          <w:color w:val="1A1A1A"/>
          <w:sz w:val="22"/>
          <w:szCs w:val="22"/>
        </w:rPr>
        <w:t xml:space="preserve">Provide sufficient detail to allow the conflict to be properly assessed;</w:t>
      </w:r>
    </w:p>
    <w:p>
      <w:pPr>
        <w:pStyle w:val="ListParagraph"/>
        <w:numPr>
          <w:ilvl w:val="0"/>
          <w:numId w:val="3"/>
        </w:numPr>
        <w:spacing w:after="40" w:before="40"/>
      </w:pPr>
      <w:r>
        <w:rPr>
          <w:rFonts w:ascii="Arial" w:cs="Arial" w:eastAsia="Arial" w:hAnsi="Arial"/>
          <w:color w:val="1A1A1A"/>
          <w:sz w:val="22"/>
          <w:szCs w:val="22"/>
        </w:rPr>
        <w:t xml:space="preserve">Recuse themselves from any decision, review, approval, or action affected by the conflict until a resolution is agreed.</w:t>
      </w:r>
    </w:p>
    <w:p>
      <w:pPr>
        <w:spacing w:after="80" w:before="80"/>
      </w:pPr>
      <w:r>
        <w:rPr>
          <w:rFonts w:ascii="Arial" w:cs="Arial" w:eastAsia="Arial" w:hAnsi="Arial"/>
          <w:color w:val="1A1A1A"/>
          <w:sz w:val="22"/>
          <w:szCs w:val="22"/>
        </w:rPr>
        <w:t xml:space="preserve">Disclosure of a conflict is not automatically a breach of policy. Failure to disclose a known conflict is a serious disciplinary offence.</w:t>
      </w:r>
    </w:p>
    <w:p>
      <w:pPr>
        <w:pStyle w:val="Heading2"/>
        <w:spacing w:after="120" w:before="280"/>
      </w:pPr>
      <w:r>
        <w:rPr>
          <w:rFonts w:ascii="Arial" w:cs="Arial" w:eastAsia="Arial" w:hAnsi="Arial"/>
          <w:b/>
          <w:bCs/>
          <w:color w:val="1A1A1A"/>
          <w:sz w:val="26"/>
          <w:szCs w:val="26"/>
        </w:rPr>
        <w:t xml:space="preserve">4.4  Resolution Options</w:t>
      </w:r>
    </w:p>
    <w:p>
      <w:pPr>
        <w:spacing w:after="80" w:before="80"/>
      </w:pPr>
      <w:r>
        <w:rPr>
          <w:rFonts w:ascii="Arial" w:cs="Arial" w:eastAsia="Arial" w:hAnsi="Arial"/>
          <w:color w:val="1A1A1A"/>
          <w:sz w:val="22"/>
          <w:szCs w:val="22"/>
        </w:rPr>
        <w:t xml:space="preserve">On receipt of a conflict disclosure, the CEO or Information Officer must determine an appropriate resolution:</w:t>
      </w:r>
    </w:p>
    <w:p>
      <w:pPr>
        <w:pStyle w:val="ListParagraph"/>
        <w:numPr>
          <w:ilvl w:val="0"/>
          <w:numId w:val="2"/>
        </w:numPr>
        <w:spacing w:after="40" w:before="40"/>
      </w:pPr>
      <w:r>
        <w:rPr>
          <w:rFonts w:ascii="Arial" w:cs="Arial" w:eastAsia="Arial" w:hAnsi="Arial"/>
          <w:color w:val="1A1A1A"/>
          <w:sz w:val="22"/>
          <w:szCs w:val="22"/>
        </w:rPr>
        <w:t xml:space="preserve">recusal: the person steps back from the specific decision or action and another person without the conflict takes it;</w:t>
      </w:r>
    </w:p>
    <w:p>
      <w:pPr>
        <w:pStyle w:val="ListParagraph"/>
        <w:numPr>
          <w:ilvl w:val="0"/>
          <w:numId w:val="2"/>
        </w:numPr>
        <w:spacing w:after="40" w:before="40"/>
      </w:pPr>
      <w:r>
        <w:rPr>
          <w:rFonts w:ascii="Arial" w:cs="Arial" w:eastAsia="Arial" w:hAnsi="Arial"/>
          <w:color w:val="1A1A1A"/>
          <w:sz w:val="22"/>
          <w:szCs w:val="22"/>
        </w:rPr>
        <w:t xml:space="preserve">supervision: the person continues with additional oversight and approval from a senior person without the conflict;</w:t>
      </w:r>
    </w:p>
    <w:p>
      <w:pPr>
        <w:pStyle w:val="ListParagraph"/>
        <w:numPr>
          <w:ilvl w:val="0"/>
          <w:numId w:val="2"/>
        </w:numPr>
        <w:spacing w:after="40" w:before="40"/>
      </w:pPr>
      <w:r>
        <w:rPr>
          <w:rFonts w:ascii="Arial" w:cs="Arial" w:eastAsia="Arial" w:hAnsi="Arial"/>
          <w:color w:val="1A1A1A"/>
          <w:sz w:val="22"/>
          <w:szCs w:val="22"/>
        </w:rPr>
        <w:t xml:space="preserve">divestment or resignation: where the conflict is structural and ongoing and cannot be managed by recusal or supervision;</w:t>
      </w:r>
    </w:p>
    <w:p>
      <w:pPr>
        <w:pStyle w:val="ListParagraph"/>
        <w:numPr>
          <w:ilvl w:val="0"/>
          <w:numId w:val="2"/>
        </w:numPr>
        <w:spacing w:after="40" w:before="40"/>
      </w:pPr>
      <w:r>
        <w:rPr>
          <w:rFonts w:ascii="Arial" w:cs="Arial" w:eastAsia="Arial" w:hAnsi="Arial"/>
          <w:color w:val="1A1A1A"/>
          <w:sz w:val="22"/>
          <w:szCs w:val="22"/>
        </w:rPr>
        <w:t xml:space="preserve">no action required: where after assessment the conflict does not actually affect any material decision.</w:t>
      </w:r>
    </w:p>
    <w:p>
      <w:pPr>
        <w:spacing w:after="80" w:before="80"/>
      </w:pPr>
      <w:r>
        <w:rPr>
          <w:rFonts w:ascii="Arial" w:cs="Arial" w:eastAsia="Arial" w:hAnsi="Arial"/>
          <w:color w:val="1A1A1A"/>
          <w:sz w:val="22"/>
          <w:szCs w:val="22"/>
        </w:rPr>
        <w:t xml:space="preserve">The resolution must be documented in writing and recorded in the Conflicts Register.</w:t>
      </w:r>
    </w:p>
    <w:p>
      <w:pPr>
        <w:pStyle w:val="Heading2"/>
        <w:spacing w:after="120" w:before="280"/>
      </w:pPr>
      <w:r>
        <w:rPr>
          <w:rFonts w:ascii="Arial" w:cs="Arial" w:eastAsia="Arial" w:hAnsi="Arial"/>
          <w:b/>
          <w:bCs/>
          <w:color w:val="1A1A1A"/>
          <w:sz w:val="26"/>
          <w:szCs w:val="26"/>
        </w:rPr>
        <w:t xml:space="preserve">4.5  Director Conflicts</w:t>
      </w:r>
    </w:p>
    <w:p>
      <w:pPr>
        <w:spacing w:after="80" w:before="80"/>
      </w:pPr>
      <w:r>
        <w:rPr>
          <w:rFonts w:ascii="Arial" w:cs="Arial" w:eastAsia="Arial" w:hAnsi="Arial"/>
          <w:color w:val="1A1A1A"/>
          <w:sz w:val="22"/>
          <w:szCs w:val="22"/>
        </w:rPr>
        <w:t xml:space="preserve">Director conflicts of interest are governed by the Companies Act 71 of 2008, sections 75 to 77. In addition to this policy, directors must: disclose conflicts at Board meetings; not vote on matters in which they have a conflict; and observe their fiduciary duties to ANIMEX. The company secretary or CEO must maintain a record of all director conflict disclosures and resolutions.</w:t>
      </w:r>
    </w:p>
    <w:p>
      <w:pPr>
        <w:pStyle w:val="Heading2"/>
        <w:spacing w:after="120" w:before="280"/>
      </w:pPr>
      <w:r>
        <w:rPr>
          <w:rFonts w:ascii="Arial" w:cs="Arial" w:eastAsia="Arial" w:hAnsi="Arial"/>
          <w:b/>
          <w:bCs/>
          <w:color w:val="1A1A1A"/>
          <w:sz w:val="26"/>
          <w:szCs w:val="26"/>
        </w:rPr>
        <w:t xml:space="preserve">4.6  Conflicts Register</w:t>
      </w:r>
    </w:p>
    <w:p>
      <w:pPr>
        <w:spacing w:after="80" w:before="80"/>
      </w:pPr>
      <w:r>
        <w:rPr>
          <w:rFonts w:ascii="Arial" w:cs="Arial" w:eastAsia="Arial" w:hAnsi="Arial"/>
          <w:color w:val="1A1A1A"/>
          <w:sz w:val="22"/>
          <w:szCs w:val="22"/>
        </w:rPr>
        <w:t xml:space="preserve">The Information Officer must maintain a Conflicts Register recording: the person who disclosed; the nature of the conflict; the date of disclosure; the resolution adopted; and any actions taken. The register must be reviewed at least annually by the CEO.</w:t>
      </w:r>
    </w:p>
    <w:p>
      <w:pPr>
        <w:pStyle w:val="Heading2"/>
        <w:spacing w:after="120" w:before="280"/>
      </w:pPr>
      <w:r>
        <w:rPr>
          <w:rFonts w:ascii="Arial" w:cs="Arial" w:eastAsia="Arial" w:hAnsi="Arial"/>
          <w:b/>
          <w:bCs/>
          <w:color w:val="1A1A1A"/>
          <w:sz w:val="26"/>
          <w:szCs w:val="26"/>
        </w:rPr>
        <w:t xml:space="preserve">4.7  Post-Employment and Post-Engagement Obligations</w:t>
      </w:r>
    </w:p>
    <w:p>
      <w:pPr>
        <w:spacing w:after="80" w:before="80"/>
      </w:pPr>
      <w:r>
        <w:rPr>
          <w:rFonts w:ascii="Arial" w:cs="Arial" w:eastAsia="Arial" w:hAnsi="Arial"/>
          <w:color w:val="1A1A1A"/>
          <w:sz w:val="22"/>
          <w:szCs w:val="22"/>
        </w:rPr>
        <w:t xml:space="preserve">Staff and contractors must not, for 12 (twelve) months following the end of their engagement with ANIMEX:</w:t>
      </w:r>
    </w:p>
    <w:p>
      <w:pPr>
        <w:pStyle w:val="ListParagraph"/>
        <w:numPr>
          <w:ilvl w:val="0"/>
          <w:numId w:val="2"/>
        </w:numPr>
        <w:spacing w:after="40" w:before="40"/>
      </w:pPr>
      <w:r>
        <w:rPr>
          <w:rFonts w:ascii="Arial" w:cs="Arial" w:eastAsia="Arial" w:hAnsi="Arial"/>
          <w:color w:val="1A1A1A"/>
          <w:sz w:val="22"/>
          <w:szCs w:val="22"/>
        </w:rPr>
        <w:t xml:space="preserve">solicit or engage ANIMEX Users, partners, or vendors with whom they interacted in their ANIMEX role for competing purposes;</w:t>
      </w:r>
    </w:p>
    <w:p>
      <w:pPr>
        <w:pStyle w:val="ListParagraph"/>
        <w:numPr>
          <w:ilvl w:val="0"/>
          <w:numId w:val="2"/>
        </w:numPr>
        <w:spacing w:after="40" w:before="40"/>
      </w:pPr>
      <w:r>
        <w:rPr>
          <w:rFonts w:ascii="Arial" w:cs="Arial" w:eastAsia="Arial" w:hAnsi="Arial"/>
          <w:color w:val="1A1A1A"/>
          <w:sz w:val="22"/>
          <w:szCs w:val="22"/>
        </w:rPr>
        <w:t xml:space="preserve">use ANIMEX confidential information for personal or competitor benefit;</w:t>
      </w:r>
    </w:p>
    <w:p>
      <w:pPr>
        <w:pStyle w:val="ListParagraph"/>
        <w:numPr>
          <w:ilvl w:val="0"/>
          <w:numId w:val="2"/>
        </w:numPr>
        <w:spacing w:after="40" w:before="40"/>
      </w:pPr>
      <w:r>
        <w:rPr>
          <w:rFonts w:ascii="Arial" w:cs="Arial" w:eastAsia="Arial" w:hAnsi="Arial"/>
          <w:color w:val="1A1A1A"/>
          <w:sz w:val="22"/>
          <w:szCs w:val="22"/>
        </w:rPr>
        <w:t xml:space="preserve">improperly assist a competitor to use ANIMEX's business intelligence, User data, or platform knowledge.</w:t>
      </w:r>
    </w:p>
    <w:p>
      <w:pPr>
        <w:spacing w:after="80" w:before="80"/>
      </w:pPr>
      <w:r>
        <w:rPr>
          <w:rFonts w:ascii="Arial" w:cs="Arial" w:eastAsia="Arial" w:hAnsi="Arial"/>
          <w:color w:val="1A1A1A"/>
          <w:sz w:val="22"/>
          <w:szCs w:val="22"/>
        </w:rPr>
        <w:t xml:space="preserve">These obligations are in addition to any non-compete or restraint-of-trade provisions in the person's employment or service agreement, and are subject to applicable South African law regarding restraint enforceability.</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5.  Regulatory and Law Enforcement Response Policy</w:t>
      </w:r>
    </w:p>
    <w:p>
      <w:pPr>
        <w:pStyle w:val="Heading2"/>
        <w:spacing w:after="120" w:before="280"/>
      </w:pPr>
      <w:r>
        <w:rPr>
          <w:rFonts w:ascii="Arial" w:cs="Arial" w:eastAsia="Arial" w:hAnsi="Arial"/>
          <w:b/>
          <w:bCs/>
          <w:color w:val="1A1A1A"/>
          <w:sz w:val="26"/>
          <w:szCs w:val="26"/>
        </w:rPr>
        <w:t xml:space="preserve">5.1  Purpose</w:t>
      </w:r>
    </w:p>
    <w:p>
      <w:pPr>
        <w:spacing w:after="80" w:before="80"/>
      </w:pPr>
      <w:r>
        <w:rPr>
          <w:rFonts w:ascii="Arial" w:cs="Arial" w:eastAsia="Arial" w:hAnsi="Arial"/>
          <w:color w:val="1A1A1A"/>
          <w:sz w:val="22"/>
          <w:szCs w:val="22"/>
        </w:rPr>
        <w:t xml:space="preserve">This policy governs how ANIMEX responds to requests, enquiries, orders, and investigations from regulators, law enforcement agencies, courts, government bodies, and other competent authorities. It ensures that ANIMEX responds lawfully, consistently, and in a manner that protects ANIMEX, its Users, and its operational integrity.</w:t>
      </w:r>
    </w:p>
    <w:p>
      <w:pPr>
        <w:spacing w:after="80" w:before="80"/>
      </w:pPr>
      <w:r>
        <w:rPr>
          <w:rFonts w:ascii="Arial" w:cs="Arial" w:eastAsia="Arial" w:hAnsi="Arial"/>
          <w:color w:val="1A1A1A"/>
          <w:sz w:val="22"/>
          <w:szCs w:val="22"/>
        </w:rPr>
        <w:t xml:space="preserve">This policy is read together with the POPIA Data Subject Rights Procedure (Compliance Pack, Section 2), the FICA/AML Risk Policy (Compliance Pack, Section 6), and the Whistleblower Policy (Compliance Pack, Section 7).</w:t>
      </w:r>
    </w:p>
    <w:p>
      <w:pPr>
        <w:pStyle w:val="Heading2"/>
        <w:spacing w:after="120" w:before="280"/>
      </w:pPr>
      <w:r>
        <w:rPr>
          <w:rFonts w:ascii="Arial" w:cs="Arial" w:eastAsia="Arial" w:hAnsi="Arial"/>
          <w:b/>
          <w:bCs/>
          <w:color w:val="1A1A1A"/>
          <w:sz w:val="26"/>
          <w:szCs w:val="26"/>
        </w:rPr>
        <w:t xml:space="preserve">5.2  Scope of Authorities</w:t>
      </w:r>
    </w:p>
    <w:p>
      <w:pPr>
        <w:spacing w:after="80" w:before="80"/>
      </w:pPr>
      <w:r>
        <w:rPr>
          <w:rFonts w:ascii="Arial" w:cs="Arial" w:eastAsia="Arial" w:hAnsi="Arial"/>
          <w:color w:val="1A1A1A"/>
          <w:sz w:val="22"/>
          <w:szCs w:val="22"/>
        </w:rPr>
        <w:t xml:space="preserve">This policy applies to requests or actions from:</w:t>
      </w:r>
    </w:p>
    <w:p>
      <w:pPr>
        <w:pStyle w:val="ListParagraph"/>
        <w:numPr>
          <w:ilvl w:val="0"/>
          <w:numId w:val="2"/>
        </w:numPr>
        <w:spacing w:after="40" w:before="40"/>
      </w:pPr>
      <w:r>
        <w:rPr>
          <w:rFonts w:ascii="Arial" w:cs="Arial" w:eastAsia="Arial" w:hAnsi="Arial"/>
          <w:color w:val="1A1A1A"/>
          <w:sz w:val="22"/>
          <w:szCs w:val="22"/>
        </w:rPr>
        <w:t xml:space="preserve">the South African Police Service (SAPS) and its specialist units including the Directorate for Priority Crime Investigation (DPCI / Hawks);</w:t>
      </w:r>
    </w:p>
    <w:p>
      <w:pPr>
        <w:pStyle w:val="ListParagraph"/>
        <w:numPr>
          <w:ilvl w:val="0"/>
          <w:numId w:val="2"/>
        </w:numPr>
        <w:spacing w:after="40" w:before="40"/>
      </w:pPr>
      <w:r>
        <w:rPr>
          <w:rFonts w:ascii="Arial" w:cs="Arial" w:eastAsia="Arial" w:hAnsi="Arial"/>
          <w:color w:val="1A1A1A"/>
          <w:sz w:val="22"/>
          <w:szCs w:val="22"/>
        </w:rPr>
        <w:t xml:space="preserve">the National Prosecuting Authority (NPA);</w:t>
      </w:r>
    </w:p>
    <w:p>
      <w:pPr>
        <w:pStyle w:val="ListParagraph"/>
        <w:numPr>
          <w:ilvl w:val="0"/>
          <w:numId w:val="2"/>
        </w:numPr>
        <w:spacing w:after="40" w:before="40"/>
      </w:pPr>
      <w:r>
        <w:rPr>
          <w:rFonts w:ascii="Arial" w:cs="Arial" w:eastAsia="Arial" w:hAnsi="Arial"/>
          <w:color w:val="1A1A1A"/>
          <w:sz w:val="22"/>
          <w:szCs w:val="22"/>
        </w:rPr>
        <w:t xml:space="preserve">the Information Regulator of South Africa (POPIA and PAIA);</w:t>
      </w:r>
    </w:p>
    <w:p>
      <w:pPr>
        <w:pStyle w:val="ListParagraph"/>
        <w:numPr>
          <w:ilvl w:val="0"/>
          <w:numId w:val="2"/>
        </w:numPr>
        <w:spacing w:after="40" w:before="40"/>
      </w:pPr>
      <w:r>
        <w:rPr>
          <w:rFonts w:ascii="Arial" w:cs="Arial" w:eastAsia="Arial" w:hAnsi="Arial"/>
          <w:color w:val="1A1A1A"/>
          <w:sz w:val="22"/>
          <w:szCs w:val="22"/>
        </w:rPr>
        <w:t xml:space="preserve">the Financial Intelligence Centre (FIC);</w:t>
      </w:r>
    </w:p>
    <w:p>
      <w:pPr>
        <w:pStyle w:val="ListParagraph"/>
        <w:numPr>
          <w:ilvl w:val="0"/>
          <w:numId w:val="2"/>
        </w:numPr>
        <w:spacing w:after="40" w:before="40"/>
      </w:pPr>
      <w:r>
        <w:rPr>
          <w:rFonts w:ascii="Arial" w:cs="Arial" w:eastAsia="Arial" w:hAnsi="Arial"/>
          <w:color w:val="1A1A1A"/>
          <w:sz w:val="22"/>
          <w:szCs w:val="22"/>
        </w:rPr>
        <w:t xml:space="preserve">the National Consumer Commission (NCC);</w:t>
      </w:r>
    </w:p>
    <w:p>
      <w:pPr>
        <w:pStyle w:val="ListParagraph"/>
        <w:numPr>
          <w:ilvl w:val="0"/>
          <w:numId w:val="2"/>
        </w:numPr>
        <w:spacing w:after="40" w:before="40"/>
      </w:pPr>
      <w:r>
        <w:rPr>
          <w:rFonts w:ascii="Arial" w:cs="Arial" w:eastAsia="Arial" w:hAnsi="Arial"/>
          <w:color w:val="1A1A1A"/>
          <w:sz w:val="22"/>
          <w:szCs w:val="22"/>
        </w:rPr>
        <w:t xml:space="preserve">the Department of Forestry, Fisheries and the Environment (DFFE) and provincial conservation authorities;</w:t>
      </w:r>
    </w:p>
    <w:p>
      <w:pPr>
        <w:pStyle w:val="ListParagraph"/>
        <w:numPr>
          <w:ilvl w:val="0"/>
          <w:numId w:val="2"/>
        </w:numPr>
        <w:spacing w:after="40" w:before="40"/>
      </w:pPr>
      <w:r>
        <w:rPr>
          <w:rFonts w:ascii="Arial" w:cs="Arial" w:eastAsia="Arial" w:hAnsi="Arial"/>
          <w:color w:val="1A1A1A"/>
          <w:sz w:val="22"/>
          <w:szCs w:val="22"/>
        </w:rPr>
        <w:t xml:space="preserve">the South African Revenue Service (SARS);</w:t>
      </w:r>
    </w:p>
    <w:p>
      <w:pPr>
        <w:pStyle w:val="ListParagraph"/>
        <w:numPr>
          <w:ilvl w:val="0"/>
          <w:numId w:val="2"/>
        </w:numPr>
        <w:spacing w:after="40" w:before="40"/>
      </w:pPr>
      <w:r>
        <w:rPr>
          <w:rFonts w:ascii="Arial" w:cs="Arial" w:eastAsia="Arial" w:hAnsi="Arial"/>
          <w:color w:val="1A1A1A"/>
          <w:sz w:val="22"/>
          <w:szCs w:val="22"/>
        </w:rPr>
        <w:t xml:space="preserve">the Companies and Intellectual Property Commission (CIPC);</w:t>
      </w:r>
    </w:p>
    <w:p>
      <w:pPr>
        <w:pStyle w:val="ListParagraph"/>
        <w:numPr>
          <w:ilvl w:val="0"/>
          <w:numId w:val="2"/>
        </w:numPr>
        <w:spacing w:after="40" w:before="40"/>
      </w:pPr>
      <w:r>
        <w:rPr>
          <w:rFonts w:ascii="Arial" w:cs="Arial" w:eastAsia="Arial" w:hAnsi="Arial"/>
          <w:color w:val="1A1A1A"/>
          <w:sz w:val="22"/>
          <w:szCs w:val="22"/>
        </w:rPr>
        <w:t xml:space="preserve">any competent court in South Africa;</w:t>
      </w:r>
    </w:p>
    <w:p>
      <w:pPr>
        <w:pStyle w:val="ListParagraph"/>
        <w:numPr>
          <w:ilvl w:val="0"/>
          <w:numId w:val="2"/>
        </w:numPr>
        <w:spacing w:after="40" w:before="40"/>
      </w:pPr>
      <w:r>
        <w:rPr>
          <w:rFonts w:ascii="Arial" w:cs="Arial" w:eastAsia="Arial" w:hAnsi="Arial"/>
          <w:color w:val="1A1A1A"/>
          <w:sz w:val="22"/>
          <w:szCs w:val="22"/>
        </w:rPr>
        <w:t xml:space="preserve">the SPCA, NSPCA, or welfare inspectors exercising statutory powers;</w:t>
      </w:r>
    </w:p>
    <w:p>
      <w:pPr>
        <w:pStyle w:val="ListParagraph"/>
        <w:numPr>
          <w:ilvl w:val="0"/>
          <w:numId w:val="2"/>
        </w:numPr>
        <w:spacing w:after="40" w:before="40"/>
      </w:pPr>
      <w:r>
        <w:rPr>
          <w:rFonts w:ascii="Arial" w:cs="Arial" w:eastAsia="Arial" w:hAnsi="Arial"/>
          <w:color w:val="1A1A1A"/>
          <w:sz w:val="22"/>
          <w:szCs w:val="22"/>
        </w:rPr>
        <w:t xml:space="preserve">any foreign regulator or law enforcement agency where ANIMEX is legally required to respond.</w:t>
      </w:r>
    </w:p>
    <w:p>
      <w:pPr>
        <w:pStyle w:val="Heading2"/>
        <w:spacing w:after="120" w:before="280"/>
      </w:pPr>
      <w:r>
        <w:rPr>
          <w:rFonts w:ascii="Arial" w:cs="Arial" w:eastAsia="Arial" w:hAnsi="Arial"/>
          <w:b/>
          <w:bCs/>
          <w:color w:val="1A1A1A"/>
          <w:sz w:val="26"/>
          <w:szCs w:val="26"/>
        </w:rPr>
        <w:t xml:space="preserve">5.3  First Response Protocol</w:t>
      </w:r>
    </w:p>
    <w:p>
      <w:pPr>
        <w:spacing w:after="80" w:before="80"/>
      </w:pPr>
      <w:r>
        <w:rPr>
          <w:rFonts w:ascii="Arial" w:cs="Arial" w:eastAsia="Arial" w:hAnsi="Arial"/>
          <w:color w:val="1A1A1A"/>
          <w:sz w:val="22"/>
          <w:szCs w:val="22"/>
        </w:rPr>
        <w:t xml:space="preserve">All requests from regulatory or law enforcement authorities received by any ANIMEX Staff member must be:</w:t>
      </w:r>
    </w:p>
    <w:p>
      <w:pPr>
        <w:pStyle w:val="ListParagraph"/>
        <w:numPr>
          <w:ilvl w:val="0"/>
          <w:numId w:val="3"/>
        </w:numPr>
        <w:spacing w:after="40" w:before="40"/>
      </w:pPr>
      <w:r>
        <w:rPr>
          <w:rFonts w:ascii="Arial" w:cs="Arial" w:eastAsia="Arial" w:hAnsi="Arial"/>
          <w:color w:val="1A1A1A"/>
          <w:sz w:val="22"/>
          <w:szCs w:val="22"/>
        </w:rPr>
        <w:t xml:space="preserve">Acknowledged but not substantively responded to without legal review;</w:t>
      </w:r>
    </w:p>
    <w:p>
      <w:pPr>
        <w:pStyle w:val="ListParagraph"/>
        <w:numPr>
          <w:ilvl w:val="0"/>
          <w:numId w:val="3"/>
        </w:numPr>
        <w:spacing w:after="40" w:before="40"/>
      </w:pPr>
      <w:r>
        <w:rPr>
          <w:rFonts w:ascii="Arial" w:cs="Arial" w:eastAsia="Arial" w:hAnsi="Arial"/>
          <w:color w:val="1A1A1A"/>
          <w:sz w:val="22"/>
          <w:szCs w:val="22"/>
        </w:rPr>
        <w:t xml:space="preserve">Immediately referred to the CEO and ANIMEX's external legal adviser;</w:t>
      </w:r>
    </w:p>
    <w:p>
      <w:pPr>
        <w:pStyle w:val="ListParagraph"/>
        <w:numPr>
          <w:ilvl w:val="0"/>
          <w:numId w:val="3"/>
        </w:numPr>
        <w:spacing w:after="40" w:before="40"/>
      </w:pPr>
      <w:r>
        <w:rPr>
          <w:rFonts w:ascii="Arial" w:cs="Arial" w:eastAsia="Arial" w:hAnsi="Arial"/>
          <w:color w:val="1A1A1A"/>
          <w:sz w:val="22"/>
          <w:szCs w:val="22"/>
        </w:rPr>
        <w:t xml:space="preserve">Not shared with the subject of the investigation unless legally required or advised by legal counsel;</w:t>
      </w:r>
    </w:p>
    <w:p>
      <w:pPr>
        <w:pStyle w:val="ListParagraph"/>
        <w:numPr>
          <w:ilvl w:val="0"/>
          <w:numId w:val="3"/>
        </w:numPr>
        <w:spacing w:after="40" w:before="40"/>
      </w:pPr>
      <w:r>
        <w:rPr>
          <w:rFonts w:ascii="Arial" w:cs="Arial" w:eastAsia="Arial" w:hAnsi="Arial"/>
          <w:color w:val="1A1A1A"/>
          <w:sz w:val="22"/>
          <w:szCs w:val="22"/>
        </w:rPr>
        <w:t xml:space="preserve">Documented in ANIMEX's Regulatory Engagement Register with: date received; authority; nature of request; reference number; and action taken.</w:t>
      </w:r>
    </w:p>
    <w:p>
      <w:pPr>
        <w:spacing w:after="80" w:before="80"/>
      </w:pPr>
      <w:r>
        <w:rPr>
          <w:rFonts w:ascii="Arial" w:cs="Arial" w:eastAsia="Arial" w:hAnsi="Arial"/>
          <w:color w:val="1A1A1A"/>
          <w:sz w:val="22"/>
          <w:szCs w:val="22"/>
        </w:rPr>
        <w:t xml:space="preserve">No Staff member may respond to any law enforcement or regulatory request on ANIMEX's behalf without explicit authorisation from the CEO and legal adviser, except in an emergency where a response is legally required before legal advice is available.</w:t>
      </w:r>
    </w:p>
    <w:p>
      <w:pPr>
        <w:pStyle w:val="Heading2"/>
        <w:spacing w:after="120" w:before="280"/>
      </w:pPr>
      <w:r>
        <w:rPr>
          <w:rFonts w:ascii="Arial" w:cs="Arial" w:eastAsia="Arial" w:hAnsi="Arial"/>
          <w:b/>
          <w:bCs/>
          <w:color w:val="1A1A1A"/>
          <w:sz w:val="26"/>
          <w:szCs w:val="26"/>
        </w:rPr>
        <w:t xml:space="preserve">5.4  Court Orders and Legal Process</w:t>
      </w:r>
    </w:p>
    <w:p>
      <w:pPr>
        <w:spacing w:after="80" w:before="80"/>
      </w:pPr>
      <w:r>
        <w:rPr>
          <w:rFonts w:ascii="Arial" w:cs="Arial" w:eastAsia="Arial" w:hAnsi="Arial"/>
          <w:color w:val="1A1A1A"/>
          <w:sz w:val="22"/>
          <w:szCs w:val="22"/>
        </w:rPr>
        <w:t xml:space="preserve">Where ANIMEX receives a court order, subpoena, search and seizure warrant, or similar legal process:</w:t>
      </w:r>
    </w:p>
    <w:p>
      <w:pPr>
        <w:pStyle w:val="ListParagraph"/>
        <w:numPr>
          <w:ilvl w:val="0"/>
          <w:numId w:val="3"/>
        </w:numPr>
        <w:spacing w:after="40" w:before="40"/>
      </w:pPr>
      <w:r>
        <w:rPr>
          <w:rFonts w:ascii="Arial" w:cs="Arial" w:eastAsia="Arial" w:hAnsi="Arial"/>
          <w:color w:val="1A1A1A"/>
          <w:sz w:val="22"/>
          <w:szCs w:val="22"/>
        </w:rPr>
        <w:t xml:space="preserve">The CEO and external legal adviser must be notified immediately.</w:t>
      </w:r>
    </w:p>
    <w:p>
      <w:pPr>
        <w:pStyle w:val="ListParagraph"/>
        <w:numPr>
          <w:ilvl w:val="0"/>
          <w:numId w:val="3"/>
        </w:numPr>
        <w:spacing w:after="40" w:before="40"/>
      </w:pPr>
      <w:r>
        <w:rPr>
          <w:rFonts w:ascii="Arial" w:cs="Arial" w:eastAsia="Arial" w:hAnsi="Arial"/>
          <w:color w:val="1A1A1A"/>
          <w:sz w:val="22"/>
          <w:szCs w:val="22"/>
        </w:rPr>
        <w:t xml:space="preserve">Legal adviser must assess the validity, scope, and proper response.</w:t>
      </w:r>
    </w:p>
    <w:p>
      <w:pPr>
        <w:pStyle w:val="ListParagraph"/>
        <w:numPr>
          <w:ilvl w:val="0"/>
          <w:numId w:val="3"/>
        </w:numPr>
        <w:spacing w:after="40" w:before="40"/>
      </w:pPr>
      <w:r>
        <w:rPr>
          <w:rFonts w:ascii="Arial" w:cs="Arial" w:eastAsia="Arial" w:hAnsi="Arial"/>
          <w:color w:val="1A1A1A"/>
          <w:sz w:val="22"/>
          <w:szCs w:val="22"/>
        </w:rPr>
        <w:t xml:space="preserve">ANIMEX must comply with all valid court orders within the ordered timeframe.</w:t>
      </w:r>
    </w:p>
    <w:p>
      <w:pPr>
        <w:pStyle w:val="ListParagraph"/>
        <w:numPr>
          <w:ilvl w:val="0"/>
          <w:numId w:val="3"/>
        </w:numPr>
        <w:spacing w:after="40" w:before="40"/>
      </w:pPr>
      <w:r>
        <w:rPr>
          <w:rFonts w:ascii="Arial" w:cs="Arial" w:eastAsia="Arial" w:hAnsi="Arial"/>
          <w:color w:val="1A1A1A"/>
          <w:sz w:val="22"/>
          <w:szCs w:val="22"/>
        </w:rPr>
        <w:t xml:space="preserve">Where the order requires disclosure of User personal information: legal adviser must advise whether POPIA permits notification to the affected User before disclosure. In most law enforcement contexts, disclosure to the User is prohibited by the tipping-off principle.</w:t>
      </w:r>
    </w:p>
    <w:p>
      <w:pPr>
        <w:pStyle w:val="ListParagraph"/>
        <w:numPr>
          <w:ilvl w:val="0"/>
          <w:numId w:val="3"/>
        </w:numPr>
        <w:spacing w:after="40" w:before="40"/>
      </w:pPr>
      <w:r>
        <w:rPr>
          <w:rFonts w:ascii="Arial" w:cs="Arial" w:eastAsia="Arial" w:hAnsi="Arial"/>
          <w:color w:val="1A1A1A"/>
          <w:sz w:val="22"/>
          <w:szCs w:val="22"/>
        </w:rPr>
        <w:t xml:space="preserve">All responses to court orders must be provided in the form and within the timeframe specified in the order, unless legal adviser advises a lawful basis for challenge.</w:t>
      </w:r>
    </w:p>
    <w:p>
      <w:pPr>
        <w:pStyle w:val="Heading2"/>
        <w:spacing w:after="120" w:before="280"/>
      </w:pPr>
      <w:r>
        <w:rPr>
          <w:rFonts w:ascii="Arial" w:cs="Arial" w:eastAsia="Arial" w:hAnsi="Arial"/>
          <w:b/>
          <w:bCs/>
          <w:color w:val="1A1A1A"/>
          <w:sz w:val="26"/>
          <w:szCs w:val="26"/>
        </w:rPr>
        <w:t xml:space="preserve">5.5  POPIA Regulatory Requests</w:t>
      </w:r>
    </w:p>
    <w:p>
      <w:pPr>
        <w:spacing w:after="80" w:before="80"/>
      </w:pPr>
      <w:r>
        <w:rPr>
          <w:rFonts w:ascii="Arial" w:cs="Arial" w:eastAsia="Arial" w:hAnsi="Arial"/>
          <w:color w:val="1A1A1A"/>
          <w:sz w:val="22"/>
          <w:szCs w:val="22"/>
        </w:rPr>
        <w:t>Requests from the Information Regulator - including inspection notices, assessment notices, information notices, enforcement notices, and administrative financial penalty notices - must be:</w:t>
      </w:r>
    </w:p>
    <w:p>
      <w:pPr>
        <w:pStyle w:val="ListParagraph"/>
        <w:numPr>
          <w:ilvl w:val="0"/>
          <w:numId w:val="2"/>
        </w:numPr>
        <w:spacing w:after="40" w:before="40"/>
      </w:pPr>
      <w:r>
        <w:rPr>
          <w:rFonts w:ascii="Arial" w:cs="Arial" w:eastAsia="Arial" w:hAnsi="Arial"/>
          <w:color w:val="1A1A1A"/>
          <w:sz w:val="22"/>
          <w:szCs w:val="22"/>
        </w:rPr>
        <w:t xml:space="preserve">immediately escalated to the Information Officer and CEO;</w:t>
      </w:r>
    </w:p>
    <w:p>
      <w:pPr>
        <w:pStyle w:val="ListParagraph"/>
        <w:numPr>
          <w:ilvl w:val="0"/>
          <w:numId w:val="2"/>
        </w:numPr>
        <w:spacing w:after="40" w:before="40"/>
      </w:pPr>
      <w:r>
        <w:rPr>
          <w:rFonts w:ascii="Arial" w:cs="Arial" w:eastAsia="Arial" w:hAnsi="Arial"/>
          <w:color w:val="1A1A1A"/>
          <w:sz w:val="22"/>
          <w:szCs w:val="22"/>
        </w:rPr>
        <w:t xml:space="preserve">reviewed by ANIMEX's external legal adviser;</w:t>
      </w:r>
    </w:p>
    <w:p>
      <w:pPr>
        <w:pStyle w:val="ListParagraph"/>
        <w:numPr>
          <w:ilvl w:val="0"/>
          <w:numId w:val="2"/>
        </w:numPr>
        <w:spacing w:after="40" w:before="40"/>
      </w:pPr>
      <w:r>
        <w:rPr>
          <w:rFonts w:ascii="Arial" w:cs="Arial" w:eastAsia="Arial" w:hAnsi="Arial"/>
          <w:color w:val="1A1A1A"/>
          <w:sz w:val="22"/>
          <w:szCs w:val="22"/>
        </w:rPr>
        <w:t xml:space="preserve">responded to within the timeframe specified in the notice;</w:t>
      </w:r>
    </w:p>
    <w:p>
      <w:pPr>
        <w:pStyle w:val="ListParagraph"/>
        <w:numPr>
          <w:ilvl w:val="0"/>
          <w:numId w:val="2"/>
        </w:numPr>
        <w:spacing w:after="40" w:before="40"/>
      </w:pPr>
      <w:r>
        <w:rPr>
          <w:rFonts w:ascii="Arial" w:cs="Arial" w:eastAsia="Arial" w:hAnsi="Arial"/>
          <w:color w:val="1A1A1A"/>
          <w:sz w:val="22"/>
          <w:szCs w:val="22"/>
        </w:rPr>
        <w:t>treated as compliance priorities - failure to respond to Information Regulator notices may result in increased penalties.</w:t>
      </w:r>
    </w:p>
    <w:p>
      <w:pPr>
        <w:pStyle w:val="Heading2"/>
        <w:spacing w:after="120" w:before="280"/>
      </w:pPr>
      <w:r>
        <w:rPr>
          <w:rFonts w:ascii="Arial" w:cs="Arial" w:eastAsia="Arial" w:hAnsi="Arial"/>
          <w:b/>
          <w:bCs/>
          <w:color w:val="1A1A1A"/>
          <w:sz w:val="26"/>
          <w:szCs w:val="26"/>
        </w:rPr>
        <w:t xml:space="preserve">5.6  Voluntary Cooperation</w:t>
      </w:r>
    </w:p>
    <w:p>
      <w:pPr>
        <w:spacing w:after="80" w:before="80"/>
      </w:pPr>
      <w:r>
        <w:rPr>
          <w:rFonts w:ascii="Arial" w:cs="Arial" w:eastAsia="Arial" w:hAnsi="Arial"/>
          <w:color w:val="1A1A1A"/>
          <w:sz w:val="22"/>
          <w:szCs w:val="22"/>
        </w:rPr>
        <w:t xml:space="preserve">ANIMEX may voluntarily cooperate with law enforcement or regulatory investigations where:</w:t>
      </w:r>
    </w:p>
    <w:p>
      <w:pPr>
        <w:pStyle w:val="ListParagraph"/>
        <w:numPr>
          <w:ilvl w:val="0"/>
          <w:numId w:val="2"/>
        </w:numPr>
        <w:spacing w:after="40" w:before="40"/>
      </w:pPr>
      <w:r>
        <w:rPr>
          <w:rFonts w:ascii="Arial" w:cs="Arial" w:eastAsia="Arial" w:hAnsi="Arial"/>
          <w:color w:val="1A1A1A"/>
          <w:sz w:val="22"/>
          <w:szCs w:val="22"/>
        </w:rPr>
        <w:t xml:space="preserve">doing so is consistent with POPIA and does not unlawfully expose User personal information;</w:t>
      </w:r>
    </w:p>
    <w:p>
      <w:pPr>
        <w:pStyle w:val="ListParagraph"/>
        <w:numPr>
          <w:ilvl w:val="0"/>
          <w:numId w:val="2"/>
        </w:numPr>
        <w:spacing w:after="40" w:before="40"/>
      </w:pPr>
      <w:r>
        <w:rPr>
          <w:rFonts w:ascii="Arial" w:cs="Arial" w:eastAsia="Arial" w:hAnsi="Arial"/>
          <w:color w:val="1A1A1A"/>
          <w:sz w:val="22"/>
          <w:szCs w:val="22"/>
        </w:rPr>
        <w:t xml:space="preserve">ANIMEX's legal adviser confirms that voluntary cooperation is appropriate and beneficial;</w:t>
      </w:r>
    </w:p>
    <w:p>
      <w:pPr>
        <w:pStyle w:val="ListParagraph"/>
        <w:numPr>
          <w:ilvl w:val="0"/>
          <w:numId w:val="2"/>
        </w:numPr>
        <w:spacing w:after="40" w:before="40"/>
      </w:pPr>
      <w:r>
        <w:rPr>
          <w:rFonts w:ascii="Arial" w:cs="Arial" w:eastAsia="Arial" w:hAnsi="Arial"/>
          <w:color w:val="1A1A1A"/>
          <w:sz w:val="22"/>
          <w:szCs w:val="22"/>
        </w:rPr>
        <w:t xml:space="preserve">cooperation relates to credible welfare concerns, fraud, illegal animal trade, or serious criminal conduct.</w:t>
      </w:r>
    </w:p>
    <w:p>
      <w:pPr>
        <w:spacing w:after="80" w:before="80"/>
      </w:pPr>
      <w:r>
        <w:rPr>
          <w:rFonts w:ascii="Arial" w:cs="Arial" w:eastAsia="Arial" w:hAnsi="Arial"/>
          <w:color w:val="1A1A1A"/>
          <w:sz w:val="22"/>
          <w:szCs w:val="22"/>
        </w:rPr>
        <w:t xml:space="preserve">Voluntary cooperation does not require a court order but must always be authorised by the CEO and legal adviser and documented in the Regulatory Engagement Register.</w:t>
      </w:r>
    </w:p>
    <w:p>
      <w:pPr>
        <w:pStyle w:val="Heading2"/>
        <w:spacing w:after="120" w:before="280"/>
      </w:pPr>
      <w:r>
        <w:rPr>
          <w:rFonts w:ascii="Arial" w:cs="Arial" w:eastAsia="Arial" w:hAnsi="Arial"/>
          <w:b/>
          <w:bCs/>
          <w:color w:val="1A1A1A"/>
          <w:sz w:val="26"/>
          <w:szCs w:val="26"/>
        </w:rPr>
        <w:t xml:space="preserve">5.7  SPCA and Welfare Authority Inspections</w:t>
      </w:r>
    </w:p>
    <w:p>
      <w:pPr>
        <w:spacing w:after="80" w:before="80"/>
      </w:pPr>
      <w:r>
        <w:rPr>
          <w:rFonts w:ascii="Arial" w:cs="Arial" w:eastAsia="Arial" w:hAnsi="Arial"/>
          <w:color w:val="1A1A1A"/>
          <w:sz w:val="22"/>
          <w:szCs w:val="22"/>
        </w:rPr>
        <w:t xml:space="preserve">Where the SPCA, NSPCA, or a welfare inspector exercises statutory inspection powers in relation to ANIMEX's operations, or requests User Listing information in connection with a welfare investigation:</w:t>
      </w:r>
    </w:p>
    <w:p>
      <w:pPr>
        <w:pStyle w:val="ListParagraph"/>
        <w:numPr>
          <w:ilvl w:val="0"/>
          <w:numId w:val="2"/>
        </w:numPr>
        <w:spacing w:after="40" w:before="40"/>
      </w:pPr>
      <w:r>
        <w:rPr>
          <w:rFonts w:ascii="Arial" w:cs="Arial" w:eastAsia="Arial" w:hAnsi="Arial"/>
          <w:color w:val="1A1A1A"/>
          <w:sz w:val="22"/>
          <w:szCs w:val="22"/>
        </w:rPr>
        <w:t xml:space="preserve">ANIMEX will cooperate with lawful welfare inspections;</w:t>
      </w:r>
    </w:p>
    <w:p>
      <w:pPr>
        <w:pStyle w:val="ListParagraph"/>
        <w:numPr>
          <w:ilvl w:val="0"/>
          <w:numId w:val="2"/>
        </w:numPr>
        <w:spacing w:after="40" w:before="40"/>
      </w:pPr>
      <w:r>
        <w:rPr>
          <w:rFonts w:ascii="Arial" w:cs="Arial" w:eastAsia="Arial" w:hAnsi="Arial"/>
          <w:color w:val="1A1A1A"/>
          <w:sz w:val="22"/>
          <w:szCs w:val="22"/>
        </w:rPr>
        <w:t xml:space="preserve">disclosure of User personal information to the SPCA requires either User consent, a lawful authority, or ANIMEX's legal adviser's confirmation that POPIA permits the disclosure;</w:t>
      </w:r>
    </w:p>
    <w:p>
      <w:pPr>
        <w:pStyle w:val="ListParagraph"/>
        <w:numPr>
          <w:ilvl w:val="0"/>
          <w:numId w:val="2"/>
        </w:numPr>
        <w:spacing w:after="40" w:before="40"/>
      </w:pPr>
      <w:r>
        <w:rPr>
          <w:rFonts w:ascii="Arial" w:cs="Arial" w:eastAsia="Arial" w:hAnsi="Arial"/>
          <w:color w:val="1A1A1A"/>
          <w:sz w:val="22"/>
          <w:szCs w:val="22"/>
        </w:rPr>
        <w:t xml:space="preserve">ANIMEX may proactively report welfare concerns to the SPCA or welfare authorities consistent with the Animal Welfare Policy (Core Legal Pack, Section 5) and the FICA/AML Risk Policy.</w:t>
      </w:r>
    </w:p>
    <w:p>
      <w:pPr>
        <w:pStyle w:val="Heading2"/>
        <w:spacing w:after="120" w:before="280"/>
      </w:pPr>
      <w:r>
        <w:rPr>
          <w:rFonts w:ascii="Arial" w:cs="Arial" w:eastAsia="Arial" w:hAnsi="Arial"/>
          <w:b/>
          <w:bCs/>
          <w:color w:val="1A1A1A"/>
          <w:sz w:val="26"/>
          <w:szCs w:val="26"/>
        </w:rPr>
        <w:t xml:space="preserve">5.8  Media and Public Statements</w:t>
      </w:r>
    </w:p>
    <w:p>
      <w:pPr>
        <w:spacing w:after="80" w:before="80"/>
      </w:pPr>
      <w:r>
        <w:rPr>
          <w:rFonts w:ascii="Arial" w:cs="Arial" w:eastAsia="Arial" w:hAnsi="Arial"/>
          <w:color w:val="1A1A1A"/>
          <w:sz w:val="22"/>
          <w:szCs w:val="22"/>
        </w:rPr>
        <w:t xml:space="preserve">No Staff member may make public statements, media comments, social media posts, or press releases regarding any regulatory or law enforcement matter involving ANIMEX without the CEO's express approval. All media enquiries on regulatory or legal matters must be directed to the CEO. Refer also to the Social Media and External Communications Policy (Employment and HR Pack, Section 4).</w:t>
      </w:r>
    </w:p>
    <w:p>
      <w:pPr>
        <w:pStyle w:val="Heading2"/>
        <w:spacing w:after="120" w:before="280"/>
      </w:pPr>
      <w:r>
        <w:rPr>
          <w:rFonts w:ascii="Arial" w:cs="Arial" w:eastAsia="Arial" w:hAnsi="Arial"/>
          <w:b/>
          <w:bCs/>
          <w:color w:val="1A1A1A"/>
          <w:sz w:val="26"/>
          <w:szCs w:val="26"/>
        </w:rPr>
        <w:t xml:space="preserve">5.9  Regulatory Engagement Register</w:t>
      </w:r>
    </w:p>
    <w:p>
      <w:pPr>
        <w:spacing w:after="80" w:before="80"/>
      </w:pPr>
      <w:r>
        <w:rPr>
          <w:rFonts w:ascii="Arial" w:cs="Arial" w:eastAsia="Arial" w:hAnsi="Arial"/>
          <w:color w:val="1A1A1A"/>
          <w:sz w:val="22"/>
          <w:szCs w:val="22"/>
        </w:rPr>
        <w:t xml:space="preserve">The Information Officer must maintain a Regulatory Engagement Register recording: date; authority; reference number; nature of request; legal adviser consulted; response provided; outcome; and lessons learned. The register must be reviewed annually by the CEO.</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6.  Platform Incident Response Policy</w:t>
      </w:r>
    </w:p>
    <w:p>
      <w:pPr>
        <w:spacing w:after="80" w:before="80"/>
      </w:pPr>
      <w:r>
        <w:rPr>
          <w:rFonts w:ascii="Arial" w:cs="Arial" w:eastAsia="Arial" w:hAnsi="Arial"/>
          <w:color w:val="1A1A1A"/>
          <w:sz w:val="22"/>
          <w:szCs w:val="22"/>
        </w:rPr>
        <w:t>This policy governs ANIMEX's response to operational platform incidents - including system failures, degraded performance, integration failures, and security events that do not rise to a full data breach - in a structured and consistent manner. It is read together with the Business Continuity and Disaster Recovery Policy (this pack, Section 1) and the Data Breach Response Plan (Compliance Pack, Section 5).</w:t>
      </w:r>
    </w:p>
    <w:p>
      <w:pPr>
        <w:pStyle w:val="Heading2"/>
        <w:spacing w:after="120" w:before="280"/>
      </w:pPr>
      <w:r>
        <w:rPr>
          <w:rFonts w:ascii="Arial" w:cs="Arial" w:eastAsia="Arial" w:hAnsi="Arial"/>
          <w:b/>
          <w:bCs/>
          <w:color w:val="1A1A1A"/>
          <w:sz w:val="26"/>
          <w:szCs w:val="26"/>
        </w:rPr>
        <w:t xml:space="preserve">6.1  Incident Categories</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2800"/>
        <w:gridCol w:w="3826"/>
      </w:tblGrid>
      <w:tr>
        <w:tc>
          <w:tcPr>
            <w:tcW w:type="dxa" w:w="24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Severity</w:t>
            </w:r>
          </w:p>
        </w:tc>
        <w:tc>
          <w:tcPr>
            <w:tcW w:type="dxa" w:w="28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Description</w:t>
            </w:r>
          </w:p>
        </w:tc>
        <w:tc>
          <w:tcPr>
            <w:tcW w:type="dxa" w:w="38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Response Target</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SEV-1 Critical</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Platform or payment system fully unavailable; User funds at risk; confirmed security breach; data loss</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Immediate - all hands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SEV-2 High</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Significant feature degradation; Secure Checkout partially unavailable; payout processing delayed beyond SLA; significant error rate spike</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Within 1 hour</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SEV-3 Medium</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Non-critical feature unavailable; elevated error rates; slow response times; third-party integration failure with workaround available</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Within 4 hours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SEV-4 Low</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Minor visual or functional bug; isolated User error; non-impacting anomaly</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Next business day</w:t>
            </w:r>
          </w:p>
        </w:tc>
      </w:tr>
    </w:tbl>
    <w:p>
      <w:pPr>
        <w:spacing w:after="60" w:before="60"/>
      </w:pPr>
      <w:r>
        <w:t xml:space="preserve"/>
      </w:r>
    </w:p>
    <w:p>
      <w:pPr>
        <w:pStyle w:val="Heading2"/>
        <w:spacing w:after="120" w:before="280"/>
      </w:pPr>
      <w:r>
        <w:rPr>
          <w:rFonts w:ascii="Arial" w:cs="Arial" w:eastAsia="Arial" w:hAnsi="Arial"/>
          <w:b/>
          <w:bCs/>
          <w:color w:val="1A1A1A"/>
          <w:sz w:val="26"/>
          <w:szCs w:val="26"/>
        </w:rPr>
        <w:t xml:space="preserve">6.2  Detection Sources</w:t>
      </w:r>
    </w:p>
    <w:p>
      <w:pPr>
        <w:spacing w:after="80" w:before="80"/>
      </w:pPr>
      <w:r>
        <w:rPr>
          <w:rFonts w:ascii="Arial" w:cs="Arial" w:eastAsia="Arial" w:hAnsi="Arial"/>
          <w:color w:val="1A1A1A"/>
          <w:sz w:val="22"/>
          <w:szCs w:val="22"/>
        </w:rPr>
        <w:t xml:space="preserve">Incidents may be detected through:</w:t>
      </w:r>
    </w:p>
    <w:p>
      <w:pPr>
        <w:pStyle w:val="ListParagraph"/>
        <w:numPr>
          <w:ilvl w:val="0"/>
          <w:numId w:val="2"/>
        </w:numPr>
        <w:spacing w:after="40" w:before="40"/>
      </w:pPr>
      <w:r>
        <w:rPr>
          <w:rFonts w:ascii="Arial" w:cs="Arial" w:eastAsia="Arial" w:hAnsi="Arial"/>
          <w:color w:val="1A1A1A"/>
          <w:sz w:val="22"/>
          <w:szCs w:val="22"/>
        </w:rPr>
        <w:t xml:space="preserve">automated monitoring and alerting (error monitoring tool, uptime monitoring, performance dashboards);</w:t>
      </w:r>
    </w:p>
    <w:p>
      <w:pPr>
        <w:pStyle w:val="ListParagraph"/>
        <w:numPr>
          <w:ilvl w:val="0"/>
          <w:numId w:val="2"/>
        </w:numPr>
        <w:spacing w:after="40" w:before="40"/>
      </w:pPr>
      <w:r>
        <w:rPr>
          <w:rFonts w:ascii="Arial" w:cs="Arial" w:eastAsia="Arial" w:hAnsi="Arial"/>
          <w:color w:val="1A1A1A"/>
          <w:sz w:val="22"/>
          <w:szCs w:val="22"/>
        </w:rPr>
        <w:t xml:space="preserve">Payment Provider status or alert notifications;</w:t>
      </w:r>
    </w:p>
    <w:p>
      <w:pPr>
        <w:pStyle w:val="ListParagraph"/>
        <w:numPr>
          <w:ilvl w:val="0"/>
          <w:numId w:val="2"/>
        </w:numPr>
        <w:spacing w:after="40" w:before="40"/>
      </w:pPr>
      <w:r>
        <w:rPr>
          <w:rFonts w:ascii="Arial" w:cs="Arial" w:eastAsia="Arial" w:hAnsi="Arial"/>
          <w:color w:val="1A1A1A"/>
          <w:sz w:val="22"/>
          <w:szCs w:val="22"/>
        </w:rPr>
        <w:t xml:space="preserve">User support tickets or in-app reports;</w:t>
      </w:r>
    </w:p>
    <w:p>
      <w:pPr>
        <w:pStyle w:val="ListParagraph"/>
        <w:numPr>
          <w:ilvl w:val="0"/>
          <w:numId w:val="2"/>
        </w:numPr>
        <w:spacing w:after="40" w:before="40"/>
      </w:pPr>
      <w:r>
        <w:rPr>
          <w:rFonts w:ascii="Arial" w:cs="Arial" w:eastAsia="Arial" w:hAnsi="Arial"/>
          <w:color w:val="1A1A1A"/>
          <w:sz w:val="22"/>
          <w:szCs w:val="22"/>
        </w:rPr>
        <w:t xml:space="preserve">Staff observation during Platform use or testing;</w:t>
      </w:r>
    </w:p>
    <w:p>
      <w:pPr>
        <w:pStyle w:val="ListParagraph"/>
        <w:numPr>
          <w:ilvl w:val="0"/>
          <w:numId w:val="2"/>
        </w:numPr>
        <w:spacing w:after="40" w:before="40"/>
      </w:pPr>
      <w:r>
        <w:rPr>
          <w:rFonts w:ascii="Arial" w:cs="Arial" w:eastAsia="Arial" w:hAnsi="Arial"/>
          <w:color w:val="1A1A1A"/>
          <w:sz w:val="22"/>
          <w:szCs w:val="22"/>
        </w:rPr>
        <w:t xml:space="preserve">Vendor incident notifications;</w:t>
      </w:r>
    </w:p>
    <w:p>
      <w:pPr>
        <w:pStyle w:val="ListParagraph"/>
        <w:numPr>
          <w:ilvl w:val="0"/>
          <w:numId w:val="2"/>
        </w:numPr>
        <w:spacing w:after="40" w:before="40"/>
      </w:pPr>
      <w:r>
        <w:rPr>
          <w:rFonts w:ascii="Arial" w:cs="Arial" w:eastAsia="Arial" w:hAnsi="Arial"/>
          <w:color w:val="1A1A1A"/>
          <w:sz w:val="22"/>
          <w:szCs w:val="22"/>
        </w:rPr>
        <w:t xml:space="preserve">External security researchers (responsible disclosure channel).</w:t>
      </w:r>
    </w:p>
    <w:p>
      <w:pPr>
        <w:pStyle w:val="Heading2"/>
        <w:spacing w:after="120" w:before="280"/>
      </w:pPr>
      <w:r>
        <w:rPr>
          <w:rFonts w:ascii="Arial" w:cs="Arial" w:eastAsia="Arial" w:hAnsi="Arial"/>
          <w:b/>
          <w:bCs/>
          <w:color w:val="1A1A1A"/>
          <w:sz w:val="26"/>
          <w:szCs w:val="26"/>
        </w:rPr>
        <w:t xml:space="preserve">6.3  Response Steps</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Step</w:t>
            </w:r>
          </w:p>
        </w:tc>
        <w:tc>
          <w:tcPr>
            <w:tcW w:type="dxa" w:w="60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Action</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Detection and triage</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Staff or monitoring system detects incident. SEV level assigned within 15 minutes. CTO and CEO notified for SEV-1 and SEV-2.</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User communication</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For SEV-1 and SEV-2: User-facing status notice within 30 minutes. Describe impact honestly. Avoid speculation on cause or resolution time.</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Investigation and containment</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CTO leads technical investigation. Payment flows and payout releases frozen for SEV-1 until system integrity is confirmed.</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Resolution</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CTO confirms resolution. All critical flows tested end-to-end before declaring resolved.</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Post-incident communication</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User notice confirming resolution and brief description of what occurred.</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Post-incident review</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Written review within 7 days for SEV-1; 14 days for SEV-2. Root cause, timeline, impact, and improvements documented.</w:t>
            </w:r>
          </w:p>
        </w:tc>
      </w:tr>
    </w:tbl>
    <w:p>
      <w:pPr>
        <w:spacing w:after="60" w:before="60"/>
      </w:pPr>
      <w:r>
        <w:t xml:space="preserve"/>
      </w:r>
    </w:p>
    <w:p>
      <w:pPr>
        <w:pStyle w:val="Heading2"/>
        <w:spacing w:after="120" w:before="280"/>
      </w:pPr>
      <w:r>
        <w:rPr>
          <w:rFonts w:ascii="Arial" w:cs="Arial" w:eastAsia="Arial" w:hAnsi="Arial"/>
          <w:b/>
          <w:bCs/>
          <w:color w:val="1A1A1A"/>
          <w:sz w:val="26"/>
          <w:szCs w:val="26"/>
        </w:rPr>
        <w:t xml:space="preserve">6.4  Escalation to Data Breach Response</w:t>
      </w:r>
    </w:p>
    <w:p>
      <w:pPr>
        <w:spacing w:after="80" w:before="80"/>
      </w:pPr>
      <w:r>
        <w:rPr>
          <w:rFonts w:ascii="Arial" w:cs="Arial" w:eastAsia="Arial" w:hAnsi="Arial"/>
          <w:color w:val="1A1A1A"/>
          <w:sz w:val="22"/>
          <w:szCs w:val="22"/>
        </w:rPr>
        <w:t>Any incident that involves or may involve: unauthorised access to User personal information; loss of User personal information; or exposure of payment data - must immediately trigger activation of the Data Breach Response Plan (Compliance Pack, Section 5) in parallel with this Incident Response Policy.</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7.  Insurance Coverage Requirements Register</w:t>
      </w:r>
    </w:p>
    <w:p>
      <w:pPr>
        <w:shd w:fill="FFF2CC" w:val="clear"/>
        <w:spacing w:after="80" w:before="80"/>
        <w:ind w:left="360" w:right="360"/>
      </w:pPr>
      <w:r>
        <w:rPr>
          <w:rFonts w:ascii="Arial" w:cs="Arial" w:eastAsia="Arial" w:hAnsi="Arial"/>
          <w:b/>
          <w:bCs/>
          <w:color w:val="7F6000"/>
          <w:sz w:val="20"/>
          <w:szCs w:val="20"/>
        </w:rPr>
        <w:t>ACTION REQUIRED: ANIMEX must obtain independent advice from a qualified South African commercial insurance broker before launching. This register identifies minimum recommended coverage categories - it does not constitute insurance advice.</w:t>
      </w:r>
    </w:p>
    <w:p>
      <w:pPr>
        <w:pStyle w:val="Heading2"/>
        <w:spacing w:after="120" w:before="280"/>
      </w:pPr>
      <w:r>
        <w:rPr>
          <w:rFonts w:ascii="Arial" w:cs="Arial" w:eastAsia="Arial" w:hAnsi="Arial"/>
          <w:b/>
          <w:bCs/>
          <w:color w:val="1A1A1A"/>
          <w:sz w:val="26"/>
          <w:szCs w:val="26"/>
        </w:rPr>
        <w:t xml:space="preserve">7.1  Purpose</w:t>
      </w:r>
    </w:p>
    <w:p>
      <w:pPr>
        <w:spacing w:after="80" w:before="80"/>
      </w:pPr>
      <w:r>
        <w:rPr>
          <w:rFonts w:ascii="Arial" w:cs="Arial" w:eastAsia="Arial" w:hAnsi="Arial"/>
          <w:color w:val="1A1A1A"/>
          <w:sz w:val="22"/>
          <w:szCs w:val="22"/>
        </w:rPr>
        <w:t xml:space="preserve">This register identifies the insurance coverage categories ANIMEX should maintain to protect against operational, legal, financial, and regulatory risks associated with operating an online animal marketplace, payment facilitation, and User data processing.</w:t>
      </w:r>
    </w:p>
    <w:p>
      <w:pPr>
        <w:pStyle w:val="Heading2"/>
        <w:spacing w:after="120" w:before="280"/>
      </w:pPr>
      <w:r>
        <w:rPr>
          <w:rFonts w:ascii="Arial" w:cs="Arial" w:eastAsia="Arial" w:hAnsi="Arial"/>
          <w:b/>
          <w:bCs/>
          <w:color w:val="1A1A1A"/>
          <w:sz w:val="26"/>
          <w:szCs w:val="26"/>
        </w:rPr>
        <w:t xml:space="preserve">7.2  Recommended Coverage</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Coverage Category</w:t>
            </w:r>
          </w:p>
        </w:tc>
        <w:tc>
          <w:tcPr>
            <w:tcW w:type="dxa" w:w="60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Description and ANIMEX Relevance</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Cyber Liability and Data Breach Insurance</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Covers costs of data breach notification, regulator fines, forensic investigation, data restoration, legal defence, and third-party claims arising from a cybersecurity incident or POPIA breach. ESSENTIAL - given ANIMEX processes User personal information and payment data.</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Professional Indemnity (Errors and Omissions)</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Covers claims arising from ANIMEX's Platform services, marketplace decisions, Dispute outcomes, and operational errors that result in User loss. Recommended given ANIMEX's intermediary and Collection Agent role.</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Directors and Officers (D&amp;O) Liability</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Covers personal liability of directors and officers for decisions made in their corporate capacity, including regulatory investigations, shareholder claims, and third-party actions. Recommended for all director-level roles.</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Public Liability / Commercial General Liability</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Covers third-party bodily injury or property damage claims arising from ANIMEX's business operations. Required if ANIMEX has physical premises or organises any physical events.</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Business Interruption Insurance</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Covers lost revenue and ongoing costs during a period where ANIMEX cannot trade due to an insured event (e.g., cyberattack, infrastructure failure). Recommended given ANIMEX's digital-only operating model.</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Commercial Crime / Fidelity Insurance</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Covers losses from employee dishonesty, fraud, theft, or misappropriation of funds. Recommended given ANIMEX's access to User payment flows and payout controls.</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Product Liability (limited application)</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May apply where ANIMEX is deemed to have participated in Animal transactions in a manner that creates product liability exposure. Legal adviser must assess applicability.</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Employment Practices Liability</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Covers claims arising from employment disputes, unfair dismissal, discrimination, or harassment by Staff. Recommended as ANIMEX scales its team.</w:t>
            </w:r>
          </w:p>
        </w:tc>
      </w:tr>
    </w:tbl>
    <w:p>
      <w:pPr>
        <w:spacing w:after="60" w:before="60"/>
      </w:pPr>
      <w:r>
        <w:t xml:space="preserve"/>
      </w:r>
    </w:p>
    <w:p>
      <w:pPr>
        <w:pStyle w:val="Heading2"/>
        <w:spacing w:after="120" w:before="280"/>
      </w:pPr>
      <w:r>
        <w:rPr>
          <w:rFonts w:ascii="Arial" w:cs="Arial" w:eastAsia="Arial" w:hAnsi="Arial"/>
          <w:b/>
          <w:bCs/>
          <w:color w:val="1A1A1A"/>
          <w:sz w:val="26"/>
          <w:szCs w:val="26"/>
        </w:rPr>
        <w:t xml:space="preserve">7.3  Insurance Review</w:t>
      </w:r>
    </w:p>
    <w:p>
      <w:pPr>
        <w:spacing w:after="80" w:before="80"/>
      </w:pPr>
      <w:r>
        <w:rPr>
          <w:rFonts w:ascii="Arial" w:cs="Arial" w:eastAsia="Arial" w:hAnsi="Arial"/>
          <w:color w:val="1A1A1A"/>
          <w:sz w:val="22"/>
          <w:szCs w:val="22"/>
        </w:rPr>
        <w:t xml:space="preserve">ANIMEX's insurance coverage must be:</w:t>
      </w:r>
    </w:p>
    <w:p>
      <w:pPr>
        <w:pStyle w:val="ListParagraph"/>
        <w:numPr>
          <w:ilvl w:val="0"/>
          <w:numId w:val="2"/>
        </w:numPr>
        <w:spacing w:after="40" w:before="40"/>
      </w:pPr>
      <w:r>
        <w:rPr>
          <w:rFonts w:ascii="Arial" w:cs="Arial" w:eastAsia="Arial" w:hAnsi="Arial"/>
          <w:color w:val="1A1A1A"/>
          <w:sz w:val="22"/>
          <w:szCs w:val="22"/>
        </w:rPr>
        <w:t xml:space="preserve">reviewed annually by the CEO with a qualified commercial insurance broker;</w:t>
      </w:r>
    </w:p>
    <w:p>
      <w:pPr>
        <w:pStyle w:val="ListParagraph"/>
        <w:numPr>
          <w:ilvl w:val="0"/>
          <w:numId w:val="2"/>
        </w:numPr>
        <w:spacing w:after="40" w:before="40"/>
      </w:pPr>
      <w:r>
        <w:rPr>
          <w:rFonts w:ascii="Arial" w:cs="Arial" w:eastAsia="Arial" w:hAnsi="Arial"/>
          <w:color w:val="1A1A1A"/>
          <w:sz w:val="22"/>
          <w:szCs w:val="22"/>
        </w:rPr>
        <w:t xml:space="preserve">updated whenever ANIMEX's business materially changes (new features, new categories, significant User growth, new regulatory requirements);</w:t>
      </w:r>
    </w:p>
    <w:p>
      <w:pPr>
        <w:pStyle w:val="ListParagraph"/>
        <w:numPr>
          <w:ilvl w:val="0"/>
          <w:numId w:val="2"/>
        </w:numPr>
        <w:spacing w:after="40" w:before="40"/>
      </w:pPr>
      <w:r>
        <w:rPr>
          <w:rFonts w:ascii="Arial" w:cs="Arial" w:eastAsia="Arial" w:hAnsi="Arial"/>
          <w:color w:val="1A1A1A"/>
          <w:sz w:val="22"/>
          <w:szCs w:val="22"/>
        </w:rPr>
        <w:t xml:space="preserve">disclosed to the Board at least annually;</w:t>
      </w:r>
    </w:p>
    <w:p>
      <w:pPr>
        <w:pStyle w:val="ListParagraph"/>
        <w:numPr>
          <w:ilvl w:val="0"/>
          <w:numId w:val="2"/>
        </w:numPr>
        <w:spacing w:after="40" w:before="40"/>
      </w:pPr>
      <w:r>
        <w:rPr>
          <w:rFonts w:ascii="Arial" w:cs="Arial" w:eastAsia="Arial" w:hAnsi="Arial"/>
          <w:color w:val="1A1A1A"/>
          <w:sz w:val="22"/>
          <w:szCs w:val="22"/>
        </w:rPr>
        <w:t>confirmed to be adequate for ANIMEX's Secure Checkout transaction volumes - coverage limits must reflect the maximum amount of User funds ANIMEX could be liable for in a worst-case scenario.</w:t>
      </w:r>
    </w:p>
    <w:p>
      <w:pPr>
        <w:pBdr>
          <w:bottom w:val="single" w:color="1F4E79" w:sz="6" w:space="1"/>
        </w:pBdr>
        <w:spacing w:after="200" w:before="200"/>
      </w:pPr>
      <w:r>
        <w:t xml:space="preserve"/>
      </w:r>
    </w:p>
    <w:p>
      <w:pPr>
        <w:spacing w:after="80" w:before="80"/>
      </w:pPr>
      <w:r>
        <w:rPr>
          <w:rFonts w:ascii="Arial" w:cs="Arial" w:eastAsia="Arial" w:hAnsi="Arial"/>
          <w:color w:val="1A1A1A"/>
          <w:sz w:val="22"/>
          <w:szCs w:val="22"/>
        </w:rPr>
        <w:t>ANIMEX Governance &amp; Risk Pack - Version 4.0 - Effective Date: Pending approval/publication</w:t>
      </w:r>
    </w:p>
    <w:p>
      <w:pPr>
        <w:spacing w:after="80" w:before="80"/>
      </w:pPr>
      <w:r>
        <w:rPr>
          <w:rFonts w:ascii="Arial" w:cs="Arial" w:eastAsia="Arial" w:hAnsi="Arial"/>
          <w:color w:val="1A1A1A"/>
          <w:sz w:val="22"/>
          <w:szCs w:val="22"/>
        </w:rPr>
        <w:t xml:space="preserve">This document requires qualified South African legal review before implementation.</w:t>
      </w:r>
    </w:p>
    <w:p>
      <w:r>
        <w:br w:type="page"/>
      </w:r>
    </w:p>
    <w:p>
      <w:r>
        <w:t>V4 Accuracy, Factuality, and Webapp-Alignment Statement</w:t>
      </w:r>
    </w:p>
    <w:p>
      <w:r>
        <w:rPr>
          <w:b/>
          <w:sz w:val="32"/>
        </w:rPr>
        <w:t>V4 Accuracy, Factuality, and Webapp-Alignment Statement</w:t>
      </w:r>
    </w:p>
    <w:p>
      <w:r>
        <w:t>This Version 4.0 document was prepared using the supplied app reference ZIP (animexofficial-d4e558a3-main.zip) and the uploaded V3 policy packs as the baseline. It reflects the webapp structure, company configuration, categories, routes, payment-state model, Supabase/Netlify/PayFast architecture, and Control Room features visible in the ZIP as at 11 May 2026.</w:t>
      </w:r>
    </w:p>
    <w:p>
      <w:r>
        <w:t>No registered-office address, VAT number/status, Information Officer name, final fee amounts, final internal approval thresholds, insurance limits, bank-account details, or role-specific HR contract fields were present in the supplied app ZIP. Those items are marked as ACTION REQUIRED or TEMPLATE FIELD rather than invented.</w:t>
      </w:r>
    </w:p>
    <w:p>
      <w:r>
        <w:t>Where legal, tax, labour, or regulatory facts may change, this document uses checked public-source wording current for this draft and requires final review by the appropriate South African attorney, tax practitioner, labour adviser, information officer, insurer, payment provider, and technical security reviewer before production use.</w:t>
      </w:r>
    </w:p>
    <w:p>
      <w:r>
        <w:t>If the webapp implementation and this document conflict, the affected app flow must not launch until the discrepancy is resolved by updating the code, updating published app copy, or revising this document through the Control Room terms/versioning process.</w:t>
      </w:r>
    </w:p>
    <w:p>
      <w:r>
        <w:t>Webapp alignment - governance and risk</w:t>
      </w:r>
    </w:p>
    <w:p>
      <w:r>
        <w:rPr>
          <w:b/>
          <w:sz w:val="26"/>
        </w:rPr>
        <w:t>Webapp alignment - governance and risk</w:t>
      </w:r>
    </w:p>
    <w:p>
      <w:r>
        <w:t>- Critical vendors verified from the ZIP include Supabase (database/auth/storage/Edge Functions), Netlify (hosting/CSP), PayFast (payments), and likely Sentry/error monitoring dependencies. Vendor register entries and DPAs must be completed for each vendor processing personal information.</w:t>
      </w:r>
    </w:p>
    <w:p>
      <w:r>
        <w:t>- BCP/DR and incident response wording aligns to React/Vite frontend hosting, Supabase database/functions, PayFast payment flows, Control Room operations, email/notification dependencies, and scheduled payout/review processes.</w:t>
      </w:r>
    </w:p>
    <w:p>
      <w:r>
        <w:t>- Insurance amounts, policy numbers, broker details, and coverage limits were not present in the supplied ZIP and are intentionally action-required.</w:t>
      </w:r>
    </w:p>
    <w:p>
      <w:r>
        <w:t>- Regulatory response pathways cover Information Regulator, FIC, SARS, CIPC, DFFE/provincial conservation authorities, SPCA/NSPCA, SAPS/DPCI, NCC, courts, and other competent authorities.</w:t>
      </w:r>
    </w:p>
    <w:sectPr>
      <w:footerReference w:type="default" r:id="rId7"/>
      <w:headerReference w:type="default" r:id="rId9"/>
      <w:headerReference w:type="first" r:id="rId10"/>
      <w:footerReference w:type="first" r:id="rId11"/>
      <w:headerReference w:type="even" r:id="rId12"/>
      <w:footerReference w:type="even" r:id="rId13"/>
      <w:pgSz w:w="11906" w:h="16838" w:orient="portrait"/>
      <w:pgMar w:top="1008" w:right="1008" w:bottom="1008" w:left="100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rPr>
      <w:t>ANIMEX Version 4.0 - Webapp-aligned draft - 11 May 2026 - Attorney/tax/security review required before launch</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08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lowerLetter"/>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400"/>
      <w:outlineLvl w:val="0"/>
    </w:pPr>
    <w:rPr>
      <w:rFonts w:ascii="Arial" w:cs="Arial" w:eastAsia="Arial" w:hAnsi="Arial"/>
      <w:b/>
      <w:bCs/>
      <w:color w:val="1F4E79"/>
      <w:sz w:val="32"/>
      <w:szCs w:val="32"/>
    </w:rPr>
  </w:style>
  <w:style w:type="paragraph" w:styleId="Heading2">
    <w:name w:val="Heading 2"/>
    <w:basedOn w:val="Normal"/>
    <w:next w:val="Normal"/>
    <w:qFormat/>
    <w:pPr>
      <w:spacing w:after="120" w:before="280"/>
      <w:outlineLvl w:val="1"/>
    </w:pPr>
    <w:rPr>
      <w:rFonts w:ascii="Arial" w:cs="Arial" w:eastAsia="Arial" w:hAnsi="Arial"/>
      <w:b/>
      <w:bCs/>
      <w:color w:val="1A1A1A"/>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OpenAI for ANIMEX</dc:creator>
  <cp:lastModifiedBy>Un-named</cp:lastModifiedBy>
  <cp:revision>1</cp:revision>
  <dcterms:created xsi:type="dcterms:W3CDTF">2026-05-11T13:42:50.550Z</dcterms:created>
  <dcterms:modified xsi:type="dcterms:W3CDTF">2026-05-11T13:42:50.551Z</dcterms:modified>
  <dc:title>ANIMEX Governance Risk Pack v4</dc:title>
  <dc:subject>ANIMEX Version 4.0 webapp-aligned legal and control pack</dc:subject>
  <dc:description>Generated from user-provided V3 DOCX files and app ZIP. Review required before publication.</dc:description>
  <cp:keywords>ANIMEX, legal, policy, South Africa, POPIA, PayFast, Supabase, marketplace</cp:keywords>
</cp:coreProperties>
</file>

<file path=docProps/custom.xml><?xml version="1.0" encoding="utf-8"?>
<Properties xmlns="http://schemas.openxmlformats.org/officeDocument/2006/custom-properties" xmlns:vt="http://schemas.openxmlformats.org/officeDocument/2006/docPropsVTypes"/>
</file>