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jc w:val="center"/>
      </w:pPr>
      <w:r>
        <w:rPr>
          <w:rFonts w:ascii="Arial" w:cs="Arial" w:eastAsia="Arial" w:hAnsi="Arial"/>
          <w:b/>
          <w:bCs/>
          <w:color w:val="1F4E79"/>
          <w:sz w:val="72"/>
          <w:szCs w:val="72"/>
        </w:rPr>
        <w:t xml:space="preserve">ANIMEX</w:t>
      </w:r>
    </w:p>
    <w:p>
      <w:pPr>
        <w:spacing w:after="80" w:before="0"/>
        <w:jc w:val="center"/>
      </w:pPr>
      <w:r>
        <w:rPr>
          <w:rFonts w:ascii="Arial" w:cs="Arial" w:eastAsia="Arial" w:hAnsi="Arial"/>
          <w:b/>
          <w:bCs/>
          <w:color w:val="1A1A1A"/>
          <w:sz w:val="40"/>
          <w:szCs w:val="40"/>
        </w:rPr>
        <w:t xml:space="preserve">FINANCIAL CONTROLS &amp; TAX COMPLIANCE PACK</w:t>
      </w:r>
    </w:p>
    <w:p>
      <w:pPr>
        <w:spacing w:after="60" w:before="0"/>
        <w:jc w:val="center"/>
      </w:pPr>
      <w:r>
        <w:rPr>
          <w:rFonts w:ascii="Arial" w:cs="Arial" w:eastAsia="Arial" w:hAnsi="Arial"/>
          <w:i/>
          <w:iCs/>
          <w:color w:val="595959"/>
          <w:sz w:val="22"/>
          <w:szCs w:val="22"/>
        </w:rPr>
        <w:t xml:space="preserve">Financial Controls · Payment Reconciliation · Revenue Recognition · VAT · Tax Compliance · Financial Reporting · Fraud Controls</w:t>
      </w:r>
    </w:p>
    <w:p>
      <w:pPr>
        <w:spacing w:after="60" w:before="0"/>
        <w:jc w:val="center"/>
      </w:pPr>
      <w:r>
        <w:rPr>
          <w:rFonts w:ascii="Arial" w:cs="Arial" w:eastAsia="Arial" w:hAnsi="Arial"/>
          <w:color w:val="595959"/>
          <w:sz w:val="20"/>
          <w:szCs w:val="20"/>
        </w:rPr>
        <w:t>animexofficial.co.za  |  Version 4.0  |  Effective Date: Pending approval/publication</w:t>
      </w:r>
    </w:p>
    <w:p>
      <w:pPr>
        <w:shd w:fill="FFF2CC" w:val="clear"/>
        <w:spacing w:after="80" w:before="80"/>
        <w:ind w:left="360" w:right="360"/>
      </w:pPr>
      <w:r>
        <w:rPr>
          <w:rFonts w:ascii="Arial" w:cs="Arial" w:eastAsia="Arial" w:hAnsi="Arial"/>
          <w:b/>
          <w:bCs/>
          <w:color w:val="7F6000"/>
          <w:sz w:val="20"/>
          <w:szCs w:val="20"/>
        </w:rPr>
        <w:t>ACTION REQUIRED: This Version 4.0 webapp-aligned draft must be approved through ANIMEX's legal, tax, security, and Control Room terms-versioning workflow before public use or contract execution.</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1.  Financial Controls Policy</w:t>
      </w:r>
    </w:p>
    <w:p>
      <w:pPr>
        <w:pStyle w:val="Heading2"/>
        <w:spacing w:after="120" w:before="280"/>
      </w:pPr>
      <w:r>
        <w:rPr>
          <w:rFonts w:ascii="Arial" w:cs="Arial" w:eastAsia="Arial" w:hAnsi="Arial"/>
          <w:b/>
          <w:bCs/>
          <w:color w:val="1A1A1A"/>
          <w:sz w:val="26"/>
          <w:szCs w:val="26"/>
        </w:rPr>
        <w:t xml:space="preserve">1.1  Purpose</w:t>
      </w:r>
    </w:p>
    <w:p>
      <w:pPr>
        <w:spacing w:after="80" w:before="80"/>
      </w:pPr>
      <w:r>
        <w:rPr>
          <w:rFonts w:ascii="Arial" w:cs="Arial" w:eastAsia="Arial" w:hAnsi="Arial"/>
          <w:color w:val="1A1A1A"/>
          <w:sz w:val="22"/>
          <w:szCs w:val="22"/>
        </w:rPr>
        <w:t xml:space="preserve">This policy establishes ANIMEX's internal financial controls framework to protect against fraud, misappropriation, financial misstatement, and compliance failure. It applies to all financial transactions, payment flows, payout processing, fee collection, expense reimbursement, and financial reporting.</w:t>
      </w:r>
    </w:p>
    <w:p>
      <w:pPr>
        <w:spacing w:after="80" w:before="80"/>
      </w:pPr>
      <w:r>
        <w:rPr>
          <w:rFonts w:ascii="Arial" w:cs="Arial" w:eastAsia="Arial" w:hAnsi="Arial"/>
          <w:color w:val="1A1A1A"/>
          <w:sz w:val="22"/>
          <w:szCs w:val="22"/>
        </w:rPr>
        <w:t xml:space="preserve">This policy is read together with the Payments and Payouts Policy (Core Legal Pack, Section 9), the Secure Checkout Policy (Core Legal Pack, Section 3), the Admin and Staff AUP (Compliance Pack, Section 4), and the Anti-Bribery Policy (Governance Pack, Section 3).</w:t>
      </w:r>
    </w:p>
    <w:p>
      <w:pPr>
        <w:pStyle w:val="Heading2"/>
        <w:spacing w:after="120" w:before="280"/>
      </w:pPr>
      <w:r>
        <w:rPr>
          <w:rFonts w:ascii="Arial" w:cs="Arial" w:eastAsia="Arial" w:hAnsi="Arial"/>
          <w:b/>
          <w:bCs/>
          <w:color w:val="1A1A1A"/>
          <w:sz w:val="26"/>
          <w:szCs w:val="26"/>
        </w:rPr>
        <w:t xml:space="preserve">1.2  Segregation of Duties</w:t>
      </w:r>
    </w:p>
    <w:p>
      <w:pPr>
        <w:spacing w:after="80" w:before="80"/>
      </w:pPr>
      <w:r>
        <w:rPr>
          <w:rFonts w:ascii="Arial" w:cs="Arial" w:eastAsia="Arial" w:hAnsi="Arial"/>
          <w:color w:val="1A1A1A"/>
          <w:sz w:val="22"/>
          <w:szCs w:val="22"/>
        </w:rPr>
        <w:t xml:space="preserve">No single person may initiate and approve a financial transaction. The following segregation of duties must be maintained:</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Transaction Type</w:t>
            </w:r>
          </w:p>
        </w:tc>
        <w:tc>
          <w:tcPr>
            <w:tcW w:type="dxa" w:w="60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Segregation Requirement</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Payout release</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Initiated by Support / Admin; approved by CEO or CFO; executed by Finance system. Payouts above the ACTION REQUIRED threshold configured in the Board Delegations Register and Control Room before live use require dual approval.</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Refund approval</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Initiated by Support Agent; approved by Admin or above; executed by Finance. Refunds above the ACTION REQUIRED threshold configured in the Board Delegations Register and Control Room before live use require CEO approval.</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Fee configuration</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Proposed by product team; approved by CEO; implemented by CTO. No single person may both approve and implement a fee change.</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Vendor payment</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Requested by department head; approved by CEO or CFO; executed by Finance. All vendor payments require a valid invoice and purchase order.</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Expense reimbursement</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Submitted by employee; approved by direct manager; paid by Finance. Employee's own manager may not approve their own expenses.</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Bank account changes (ANIMEX accounts)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Requested in writing; approved by two authorised signatories; confirmed by bank.</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Seller bank detail changes on Platform</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Requested by Seller; verified by identity check; implemented by system; flagged for Finance review for 48 hours before first payout to new account.</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1.3  Payment Authorisation Levels</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Amount</w:t>
            </w:r>
          </w:p>
        </w:tc>
        <w:tc>
          <w:tcPr>
            <w:tcW w:type="dxa" w:w="60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Required Approval</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Up to ACTION REQUIRED: insert approved Rand amount from the live Fee Schedule or Delegations Register</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Department manager approval</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ACTION REQUIRED: insert approved Rand amount from the live Fee Schedule or Delegations Register to ACTION REQUIRED: insert approved Rand amount from the live Fee Schedule or Delegations Register</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CEO approval</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Above ACTION REQUIRED: insert approved Rand amount from the live Fee Schedule or Delegations Register</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CEO plus one director approval</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Any payment to a related party</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CEO plus all directors - full disclosure and conflict of interest assessment required</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Any payment outside South Africa</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CEO approval plus legal adviser confirmation of exchange control compliance</w:t>
            </w:r>
          </w:p>
        </w:tc>
      </w:tr>
    </w:tbl>
    <w:p>
      <w:pPr>
        <w:spacing w:after="60" w:before="60"/>
      </w:pPr>
      <w:r>
        <w:t xml:space="preserve"/>
      </w:r>
    </w:p>
    <w:p>
      <w:pPr>
        <w:shd w:fill="EEF4FB" w:val="clear"/>
        <w:spacing w:after="80" w:before="80"/>
        <w:ind w:left="360" w:right="360"/>
      </w:pPr>
      <w:r>
        <w:rPr>
          <w:rFonts w:ascii="Arial" w:cs="Arial" w:eastAsia="Arial" w:hAnsi="Arial"/>
          <w:i/>
          <w:iCs/>
          <w:color w:val="2F5496"/>
          <w:sz w:val="20"/>
          <w:szCs w:val="20"/>
        </w:rPr>
        <w:t xml:space="preserve">INTERNAL NOTE: Populate the thresholds above with amounts appropriate to ANIMEX's transaction volumes, confirmed with the CFO and auditor.</w:t>
      </w:r>
    </w:p>
    <w:p>
      <w:pPr>
        <w:pStyle w:val="Heading2"/>
        <w:spacing w:after="120" w:before="280"/>
      </w:pPr>
      <w:r>
        <w:rPr>
          <w:rFonts w:ascii="Arial" w:cs="Arial" w:eastAsia="Arial" w:hAnsi="Arial"/>
          <w:b/>
          <w:bCs/>
          <w:color w:val="1A1A1A"/>
          <w:sz w:val="26"/>
          <w:szCs w:val="26"/>
        </w:rPr>
        <w:t xml:space="preserve">1.4  Cash and Petty Cash</w:t>
      </w:r>
    </w:p>
    <w:p>
      <w:pPr>
        <w:spacing w:after="80" w:before="80"/>
      </w:pPr>
      <w:r>
        <w:rPr>
          <w:rFonts w:ascii="Arial" w:cs="Arial" w:eastAsia="Arial" w:hAnsi="Arial"/>
          <w:color w:val="1A1A1A"/>
          <w:sz w:val="22"/>
          <w:szCs w:val="22"/>
        </w:rPr>
        <w:t xml:space="preserve">ANIMEX does not accept or hold physical cash in connection with Platform operations. All payments are electronic. Where petty cash is maintained for incidental operational expenses:</w:t>
      </w:r>
    </w:p>
    <w:p>
      <w:pPr>
        <w:pStyle w:val="ListParagraph"/>
        <w:numPr>
          <w:ilvl w:val="0"/>
          <w:numId w:val="2"/>
        </w:numPr>
        <w:spacing w:after="40" w:before="40"/>
      </w:pPr>
      <w:r>
        <w:rPr>
          <w:rFonts w:ascii="Arial" w:cs="Arial" w:eastAsia="Arial" w:hAnsi="Arial"/>
          <w:color w:val="1A1A1A"/>
          <w:sz w:val="22"/>
          <w:szCs w:val="22"/>
        </w:rPr>
        <w:t>petty cash float must not exceed ACTION REQUIRED: insert approved Rand amount from the live Fee Schedule or Delegations Register;</w:t>
      </w:r>
    </w:p>
    <w:p>
      <w:pPr>
        <w:pStyle w:val="ListParagraph"/>
        <w:numPr>
          <w:ilvl w:val="0"/>
          <w:numId w:val="2"/>
        </w:numPr>
        <w:spacing w:after="40" w:before="40"/>
      </w:pPr>
      <w:r>
        <w:rPr>
          <w:rFonts w:ascii="Arial" w:cs="Arial" w:eastAsia="Arial" w:hAnsi="Arial"/>
          <w:color w:val="1A1A1A"/>
          <w:sz w:val="22"/>
          <w:szCs w:val="22"/>
        </w:rPr>
        <w:t xml:space="preserve">all petty cash disbursements require a receipt and are reconciled weekly;</w:t>
      </w:r>
    </w:p>
    <w:p>
      <w:pPr>
        <w:pStyle w:val="ListParagraph"/>
        <w:numPr>
          <w:ilvl w:val="0"/>
          <w:numId w:val="2"/>
        </w:numPr>
        <w:spacing w:after="40" w:before="40"/>
      </w:pPr>
      <w:r>
        <w:rPr>
          <w:rFonts w:ascii="Arial" w:cs="Arial" w:eastAsia="Arial" w:hAnsi="Arial"/>
          <w:color w:val="1A1A1A"/>
          <w:sz w:val="22"/>
          <w:szCs w:val="22"/>
        </w:rPr>
        <w:t xml:space="preserve">petty cash is counted and verified by a person other than the petty cash custodian at least monthly.</w:t>
      </w:r>
    </w:p>
    <w:p>
      <w:pPr>
        <w:pStyle w:val="Heading2"/>
        <w:spacing w:after="120" w:before="280"/>
      </w:pPr>
      <w:r>
        <w:rPr>
          <w:rFonts w:ascii="Arial" w:cs="Arial" w:eastAsia="Arial" w:hAnsi="Arial"/>
          <w:b/>
          <w:bCs/>
          <w:color w:val="1A1A1A"/>
          <w:sz w:val="26"/>
          <w:szCs w:val="26"/>
        </w:rPr>
        <w:t xml:space="preserve">1.5  Bank Account Management</w:t>
      </w:r>
    </w:p>
    <w:p>
      <w:pPr>
        <w:spacing w:after="80" w:before="80"/>
      </w:pPr>
      <w:r>
        <w:rPr>
          <w:rFonts w:ascii="Arial" w:cs="Arial" w:eastAsia="Arial" w:hAnsi="Arial"/>
          <w:color w:val="1A1A1A"/>
          <w:sz w:val="22"/>
          <w:szCs w:val="22"/>
        </w:rPr>
        <w:t xml:space="preserve">ANIMEX's bank accounts must:</w:t>
      </w:r>
    </w:p>
    <w:p>
      <w:pPr>
        <w:pStyle w:val="ListParagraph"/>
        <w:numPr>
          <w:ilvl w:val="0"/>
          <w:numId w:val="2"/>
        </w:numPr>
        <w:spacing w:after="40" w:before="40"/>
      </w:pPr>
      <w:r>
        <w:rPr>
          <w:rFonts w:ascii="Arial" w:cs="Arial" w:eastAsia="Arial" w:hAnsi="Arial"/>
          <w:color w:val="1A1A1A"/>
          <w:sz w:val="22"/>
          <w:szCs w:val="22"/>
        </w:rPr>
        <w:t>be in the name of ANIMEX (Pty) Ltd - no business funds may be held in personal accounts;</w:t>
      </w:r>
    </w:p>
    <w:p>
      <w:pPr>
        <w:pStyle w:val="ListParagraph"/>
        <w:numPr>
          <w:ilvl w:val="0"/>
          <w:numId w:val="2"/>
        </w:numPr>
        <w:spacing w:after="40" w:before="40"/>
      </w:pPr>
      <w:r>
        <w:rPr>
          <w:rFonts w:ascii="Arial" w:cs="Arial" w:eastAsia="Arial" w:hAnsi="Arial"/>
          <w:color w:val="1A1A1A"/>
          <w:sz w:val="22"/>
          <w:szCs w:val="22"/>
        </w:rPr>
        <w:t>require dual authorisation for any outgoing payment above ACTION REQUIRED: insert approved Rand amount from the live Fee Schedule or Delegations Register;</w:t>
      </w:r>
    </w:p>
    <w:p>
      <w:pPr>
        <w:pStyle w:val="ListParagraph"/>
        <w:numPr>
          <w:ilvl w:val="0"/>
          <w:numId w:val="2"/>
        </w:numPr>
        <w:spacing w:after="40" w:before="40"/>
      </w:pPr>
      <w:r>
        <w:rPr>
          <w:rFonts w:ascii="Arial" w:cs="Arial" w:eastAsia="Arial" w:hAnsi="Arial"/>
          <w:color w:val="1A1A1A"/>
          <w:sz w:val="22"/>
          <w:szCs w:val="22"/>
        </w:rPr>
        <w:t xml:space="preserve">be reconciled against internal records at least weekly;</w:t>
      </w:r>
    </w:p>
    <w:p>
      <w:pPr>
        <w:pStyle w:val="ListParagraph"/>
        <w:numPr>
          <w:ilvl w:val="0"/>
          <w:numId w:val="2"/>
        </w:numPr>
        <w:spacing w:after="40" w:before="40"/>
      </w:pPr>
      <w:r>
        <w:rPr>
          <w:rFonts w:ascii="Arial" w:cs="Arial" w:eastAsia="Arial" w:hAnsi="Arial"/>
          <w:color w:val="1A1A1A"/>
          <w:sz w:val="22"/>
          <w:szCs w:val="22"/>
        </w:rPr>
        <w:t xml:space="preserve">not be used for personal transactions by any director or Staff member;</w:t>
      </w:r>
    </w:p>
    <w:p>
      <w:pPr>
        <w:pStyle w:val="ListParagraph"/>
        <w:numPr>
          <w:ilvl w:val="0"/>
          <w:numId w:val="2"/>
        </w:numPr>
        <w:spacing w:after="40" w:before="40"/>
      </w:pPr>
      <w:r>
        <w:rPr>
          <w:rFonts w:ascii="Arial" w:cs="Arial" w:eastAsia="Arial" w:hAnsi="Arial"/>
          <w:color w:val="1A1A1A"/>
          <w:sz w:val="22"/>
          <w:szCs w:val="22"/>
        </w:rPr>
        <w:t xml:space="preserve">be covered by ANIMEX's commercial crime insurance.</w:t>
      </w:r>
    </w:p>
    <w:p>
      <w:pPr>
        <w:spacing w:after="80" w:before="80"/>
      </w:pPr>
      <w:r>
        <w:rPr>
          <w:rFonts w:ascii="Arial" w:cs="Arial" w:eastAsia="Arial" w:hAnsi="Arial"/>
          <w:color w:val="1A1A1A"/>
          <w:sz w:val="22"/>
          <w:szCs w:val="22"/>
        </w:rPr>
        <w:t xml:space="preserve">A full list of authorised ANIMEX bank accounts must be maintained by the CFO and reviewed by the CEO annually.</w:t>
      </w:r>
    </w:p>
    <w:p>
      <w:pPr>
        <w:pStyle w:val="Heading2"/>
        <w:spacing w:after="120" w:before="280"/>
      </w:pPr>
      <w:r>
        <w:rPr>
          <w:rFonts w:ascii="Arial" w:cs="Arial" w:eastAsia="Arial" w:hAnsi="Arial"/>
          <w:b/>
          <w:bCs/>
          <w:color w:val="1A1A1A"/>
          <w:sz w:val="26"/>
          <w:szCs w:val="26"/>
        </w:rPr>
        <w:t xml:space="preserve">1.6  Management Accounts and Reporting</w:t>
      </w:r>
    </w:p>
    <w:p>
      <w:pPr>
        <w:spacing w:after="80" w:before="80"/>
      </w:pPr>
      <w:r>
        <w:rPr>
          <w:rFonts w:ascii="Arial" w:cs="Arial" w:eastAsia="Arial" w:hAnsi="Arial"/>
          <w:color w:val="1A1A1A"/>
          <w:sz w:val="22"/>
          <w:szCs w:val="22"/>
        </w:rPr>
        <w:t xml:space="preserve">ANIMEX must produce:</w:t>
      </w:r>
    </w:p>
    <w:p>
      <w:pPr>
        <w:pStyle w:val="ListParagraph"/>
        <w:numPr>
          <w:ilvl w:val="0"/>
          <w:numId w:val="2"/>
        </w:numPr>
        <w:spacing w:after="40" w:before="40"/>
      </w:pPr>
      <w:r>
        <w:rPr>
          <w:rFonts w:ascii="Arial" w:cs="Arial" w:eastAsia="Arial" w:hAnsi="Arial"/>
          <w:color w:val="1A1A1A"/>
          <w:sz w:val="22"/>
          <w:szCs w:val="22"/>
        </w:rPr>
        <w:t>monthly management accounts (income statement, balance sheet, cash flow statement) within 15 business days of each month end;</w:t>
      </w:r>
    </w:p>
    <w:p>
      <w:pPr>
        <w:pStyle w:val="ListParagraph"/>
        <w:numPr>
          <w:ilvl w:val="0"/>
          <w:numId w:val="2"/>
        </w:numPr>
        <w:spacing w:after="40" w:before="40"/>
      </w:pPr>
      <w:r>
        <w:rPr>
          <w:rFonts w:ascii="Arial" w:cs="Arial" w:eastAsia="Arial" w:hAnsi="Arial"/>
          <w:color w:val="1A1A1A"/>
          <w:sz w:val="22"/>
          <w:szCs w:val="22"/>
        </w:rPr>
        <w:t xml:space="preserve">quarterly financial review by the CEO;</w:t>
      </w:r>
    </w:p>
    <w:p>
      <w:pPr>
        <w:pStyle w:val="ListParagraph"/>
        <w:numPr>
          <w:ilvl w:val="0"/>
          <w:numId w:val="2"/>
        </w:numPr>
        <w:spacing w:after="40" w:before="40"/>
      </w:pPr>
      <w:r>
        <w:rPr>
          <w:rFonts w:ascii="Arial" w:cs="Arial" w:eastAsia="Arial" w:hAnsi="Arial"/>
          <w:color w:val="1A1A1A"/>
          <w:sz w:val="22"/>
          <w:szCs w:val="22"/>
        </w:rPr>
        <w:t>annual financial statements - where ANIMEX is required to be audited or independently reviewed under the Companies Act, financial statements must be prepared by a registered accountant and reviewed or audited accordingly;</w:t>
      </w:r>
    </w:p>
    <w:p>
      <w:pPr>
        <w:pStyle w:val="ListParagraph"/>
        <w:numPr>
          <w:ilvl w:val="0"/>
          <w:numId w:val="2"/>
        </w:numPr>
        <w:spacing w:after="40" w:before="40"/>
      </w:pPr>
      <w:r>
        <w:rPr>
          <w:rFonts w:ascii="Arial" w:cs="Arial" w:eastAsia="Arial" w:hAnsi="Arial"/>
          <w:color w:val="1A1A1A"/>
          <w:sz w:val="22"/>
          <w:szCs w:val="22"/>
        </w:rPr>
        <w:t xml:space="preserve">an annual budget prepared before the start of each financial year, approved by the CEO and board.</w:t>
      </w:r>
    </w:p>
    <w:p>
      <w:pPr>
        <w:pStyle w:val="Heading2"/>
        <w:spacing w:after="120" w:before="280"/>
      </w:pPr>
      <w:r>
        <w:rPr>
          <w:rFonts w:ascii="Arial" w:cs="Arial" w:eastAsia="Arial" w:hAnsi="Arial"/>
          <w:b/>
          <w:bCs/>
          <w:color w:val="1A1A1A"/>
          <w:sz w:val="26"/>
          <w:szCs w:val="26"/>
        </w:rPr>
        <w:t xml:space="preserve">1.7  Fraud Prevention</w:t>
      </w:r>
    </w:p>
    <w:p>
      <w:pPr>
        <w:spacing w:after="80" w:before="80"/>
      </w:pPr>
      <w:r>
        <w:rPr>
          <w:rFonts w:ascii="Arial" w:cs="Arial" w:eastAsia="Arial" w:hAnsi="Arial"/>
          <w:color w:val="1A1A1A"/>
          <w:sz w:val="22"/>
          <w:szCs w:val="22"/>
        </w:rPr>
        <w:t xml:space="preserve">ANIMEX applies the following fraud prevention controls:</w:t>
      </w:r>
    </w:p>
    <w:p>
      <w:pPr>
        <w:pStyle w:val="ListParagraph"/>
        <w:numPr>
          <w:ilvl w:val="0"/>
          <w:numId w:val="2"/>
        </w:numPr>
        <w:spacing w:after="40" w:before="40"/>
      </w:pPr>
      <w:r>
        <w:rPr>
          <w:rFonts w:ascii="Arial" w:cs="Arial" w:eastAsia="Arial" w:hAnsi="Arial"/>
          <w:color w:val="1A1A1A"/>
          <w:sz w:val="22"/>
          <w:szCs w:val="22"/>
        </w:rPr>
        <w:t>all new vendor bank accounts are verified before the first payment - ANIMEX does not pay on invoice alone for a new vendor;</w:t>
      </w:r>
    </w:p>
    <w:p>
      <w:pPr>
        <w:pStyle w:val="ListParagraph"/>
        <w:numPr>
          <w:ilvl w:val="0"/>
          <w:numId w:val="2"/>
        </w:numPr>
        <w:spacing w:after="40" w:before="40"/>
      </w:pPr>
      <w:r>
        <w:rPr>
          <w:rFonts w:ascii="Arial" w:cs="Arial" w:eastAsia="Arial" w:hAnsi="Arial"/>
          <w:color w:val="1A1A1A"/>
          <w:sz w:val="22"/>
          <w:szCs w:val="22"/>
        </w:rPr>
        <w:t>all changes to Seller bank details on the Platform trigger a 48-hour hold on new payouts to the changed account, with a notification to the Seller's registered email - this protects against account takeover fraud;</w:t>
      </w:r>
    </w:p>
    <w:p>
      <w:pPr>
        <w:pStyle w:val="ListParagraph"/>
        <w:numPr>
          <w:ilvl w:val="0"/>
          <w:numId w:val="2"/>
        </w:numPr>
        <w:spacing w:after="40" w:before="40"/>
      </w:pPr>
      <w:r>
        <w:rPr>
          <w:rFonts w:ascii="Arial" w:cs="Arial" w:eastAsia="Arial" w:hAnsi="Arial"/>
          <w:color w:val="1A1A1A"/>
          <w:sz w:val="22"/>
          <w:szCs w:val="22"/>
        </w:rPr>
        <w:t>email requests to change bank details - whether from Sellers or vendors - are verified by a call to a known phone number before actioning;</w:t>
      </w:r>
    </w:p>
    <w:p>
      <w:pPr>
        <w:pStyle w:val="ListParagraph"/>
        <w:numPr>
          <w:ilvl w:val="0"/>
          <w:numId w:val="2"/>
        </w:numPr>
        <w:spacing w:after="40" w:before="40"/>
      </w:pPr>
      <w:r>
        <w:rPr>
          <w:rFonts w:ascii="Arial" w:cs="Arial" w:eastAsia="Arial" w:hAnsi="Arial"/>
          <w:color w:val="1A1A1A"/>
          <w:sz w:val="22"/>
          <w:szCs w:val="22"/>
        </w:rPr>
        <w:t xml:space="preserve">Finance staff must be trained to recognise business email compromise (BEC) fraud, invoice fraud, and CEO impersonation fraud;</w:t>
      </w:r>
    </w:p>
    <w:p>
      <w:pPr>
        <w:pStyle w:val="ListParagraph"/>
        <w:numPr>
          <w:ilvl w:val="0"/>
          <w:numId w:val="2"/>
        </w:numPr>
        <w:spacing w:after="40" w:before="40"/>
      </w:pPr>
      <w:r>
        <w:rPr>
          <w:rFonts w:ascii="Arial" w:cs="Arial" w:eastAsia="Arial" w:hAnsi="Arial"/>
          <w:color w:val="1A1A1A"/>
          <w:sz w:val="22"/>
          <w:szCs w:val="22"/>
        </w:rPr>
        <w:t xml:space="preserve">all financial fraud suspicions must be reported immediately to the CEO and ANIMEX's legal adviser.</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2.  Payment Reconciliation Policy</w:t>
      </w:r>
    </w:p>
    <w:p>
      <w:pPr>
        <w:pStyle w:val="Heading2"/>
        <w:spacing w:after="120" w:before="280"/>
      </w:pPr>
      <w:r>
        <w:rPr>
          <w:rFonts w:ascii="Arial" w:cs="Arial" w:eastAsia="Arial" w:hAnsi="Arial"/>
          <w:b/>
          <w:bCs/>
          <w:color w:val="1A1A1A"/>
          <w:sz w:val="26"/>
          <w:szCs w:val="26"/>
        </w:rPr>
        <w:t xml:space="preserve">2.1  Purpose</w:t>
      </w:r>
    </w:p>
    <w:p>
      <w:pPr>
        <w:spacing w:after="80" w:before="80"/>
      </w:pPr>
      <w:r>
        <w:rPr>
          <w:rFonts w:ascii="Arial" w:cs="Arial" w:eastAsia="Arial" w:hAnsi="Arial"/>
          <w:color w:val="1A1A1A"/>
          <w:sz w:val="22"/>
          <w:szCs w:val="22"/>
        </w:rPr>
        <w:t xml:space="preserve">This policy governs the daily and periodic reconciliation of ANIMEX's payment flows to ensure that all Buyer payments, Seller payouts, ANIMEX fees, chargebacks, and refunds are accurately recorded and that no funds are unaccounted for. Accurate reconciliation is required for financial reporting, VAT compliance, chargeback management, and fraud detection.</w:t>
      </w:r>
    </w:p>
    <w:p>
      <w:pPr>
        <w:pStyle w:val="Heading2"/>
        <w:spacing w:after="120" w:before="280"/>
      </w:pPr>
      <w:r>
        <w:rPr>
          <w:rFonts w:ascii="Arial" w:cs="Arial" w:eastAsia="Arial" w:hAnsi="Arial"/>
          <w:b/>
          <w:bCs/>
          <w:color w:val="1A1A1A"/>
          <w:sz w:val="26"/>
          <w:szCs w:val="26"/>
        </w:rPr>
        <w:t xml:space="preserve">2.2  Reconciliation Frequency and Scope</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Reconciliation Type</w:t>
            </w:r>
          </w:p>
        </w:tc>
        <w:tc>
          <w:tcPr>
            <w:tcW w:type="dxa" w:w="60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Scope and Frequency</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Daily reconciliation</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All Secure Checkout transactions processed in the preceding 24 hours; Payment Provider settlement reports vs ANIMEX internal transaction records; discrepancies flagged immediately</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Daily payout reconciliation</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All payouts processed; verified against approved payout list; Payment Provider confirmation vs ANIMEX records</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Daily chargeback and reversal check</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All chargebacks, reversals, and disputed transactions notified by Payment Provider; cross-referenced to ANIMEX records; affected Seller accounts flagged</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Weekly fee reconciliation</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All listing fees, success fees, service fees, and other Platform fees collected vs invoiced; VAT collected vs VAT liability</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Monthly full reconciliation</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Full reconciliation of: all Buyer payments; all Seller payouts; all fees; all refunds and chargebacks; all Payment Provider settlement reports; bank statement vs internal records</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Monthly VAT reconciliation</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VAT collected on fees vs VAT payable; input VAT on expenses; preparation for VAT return</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2.3  Reconciliation Process</w:t>
      </w:r>
    </w:p>
    <w:p>
      <w:pPr>
        <w:pStyle w:val="ListParagraph"/>
        <w:numPr>
          <w:ilvl w:val="0"/>
          <w:numId w:val="3"/>
        </w:numPr>
        <w:spacing w:after="40" w:before="40"/>
      </w:pPr>
      <w:r>
        <w:rPr>
          <w:rFonts w:ascii="Arial" w:cs="Arial" w:eastAsia="Arial" w:hAnsi="Arial"/>
          <w:color w:val="1A1A1A"/>
          <w:sz w:val="22"/>
          <w:szCs w:val="22"/>
        </w:rPr>
        <w:t xml:space="preserve">Finance extracts daily transaction data from ANIMEX's payment records and the Payment Provider's settlement reports.</w:t>
      </w:r>
    </w:p>
    <w:p>
      <w:pPr>
        <w:pStyle w:val="ListParagraph"/>
        <w:numPr>
          <w:ilvl w:val="0"/>
          <w:numId w:val="3"/>
        </w:numPr>
        <w:spacing w:after="40" w:before="40"/>
      </w:pPr>
      <w:r>
        <w:rPr>
          <w:rFonts w:ascii="Arial" w:cs="Arial" w:eastAsia="Arial" w:hAnsi="Arial"/>
          <w:color w:val="1A1A1A"/>
          <w:sz w:val="22"/>
          <w:szCs w:val="22"/>
        </w:rPr>
        <w:t xml:space="preserve">Finance compares transaction by transaction: Buyer payments confirmed; Seller payouts released; fees deducted; chargebacks and refunds processed.</w:t>
      </w:r>
    </w:p>
    <w:p>
      <w:pPr>
        <w:pStyle w:val="ListParagraph"/>
        <w:numPr>
          <w:ilvl w:val="0"/>
          <w:numId w:val="3"/>
        </w:numPr>
        <w:spacing w:after="40" w:before="40"/>
      </w:pPr>
      <w:r>
        <w:rPr>
          <w:rFonts w:ascii="Arial" w:cs="Arial" w:eastAsia="Arial" w:hAnsi="Arial"/>
          <w:color w:val="1A1A1A"/>
          <w:sz w:val="22"/>
          <w:szCs w:val="22"/>
        </w:rPr>
        <w:t xml:space="preserve">Any unmatched transaction is flagged as a reconciliation exception and investigated within 1 (one) business day.</w:t>
      </w:r>
    </w:p>
    <w:p>
      <w:pPr>
        <w:pStyle w:val="ListParagraph"/>
        <w:numPr>
          <w:ilvl w:val="0"/>
          <w:numId w:val="3"/>
        </w:numPr>
        <w:spacing w:after="40" w:before="40"/>
      </w:pPr>
      <w:r>
        <w:rPr>
          <w:rFonts w:ascii="Arial" w:cs="Arial" w:eastAsia="Arial" w:hAnsi="Arial"/>
          <w:color w:val="1A1A1A"/>
          <w:sz w:val="22"/>
          <w:szCs w:val="22"/>
        </w:rPr>
        <w:t xml:space="preserve">Reconciliation exceptions that cannot be resolved within 2 (two) business days are escalated to the CEO and legal adviser.</w:t>
      </w:r>
    </w:p>
    <w:p>
      <w:pPr>
        <w:pStyle w:val="ListParagraph"/>
        <w:numPr>
          <w:ilvl w:val="0"/>
          <w:numId w:val="3"/>
        </w:numPr>
        <w:spacing w:after="40" w:before="40"/>
      </w:pPr>
      <w:r>
        <w:rPr>
          <w:rFonts w:ascii="Arial" w:cs="Arial" w:eastAsia="Arial" w:hAnsi="Arial"/>
          <w:color w:val="1A1A1A"/>
          <w:sz w:val="22"/>
          <w:szCs w:val="22"/>
        </w:rPr>
        <w:t xml:space="preserve">Reconciliation results are recorded in a Reconciliation Register with: date; period covered; number of transactions; total value; exceptions identified; resolution status.</w:t>
      </w:r>
    </w:p>
    <w:p>
      <w:pPr>
        <w:pStyle w:val="Heading2"/>
        <w:spacing w:after="120" w:before="280"/>
      </w:pPr>
      <w:r>
        <w:rPr>
          <w:rFonts w:ascii="Arial" w:cs="Arial" w:eastAsia="Arial" w:hAnsi="Arial"/>
          <w:b/>
          <w:bCs/>
          <w:color w:val="1A1A1A"/>
          <w:sz w:val="26"/>
          <w:szCs w:val="26"/>
        </w:rPr>
        <w:t xml:space="preserve">2.4  Reconciliation Exceptions</w:t>
      </w:r>
    </w:p>
    <w:p>
      <w:pPr>
        <w:spacing w:after="80" w:before="80"/>
      </w:pPr>
      <w:r>
        <w:rPr>
          <w:rFonts w:ascii="Arial" w:cs="Arial" w:eastAsia="Arial" w:hAnsi="Arial"/>
          <w:color w:val="1A1A1A"/>
          <w:sz w:val="22"/>
          <w:szCs w:val="22"/>
        </w:rPr>
        <w:t xml:space="preserve">A reconciliation exception occurs when:</w:t>
      </w:r>
    </w:p>
    <w:p>
      <w:pPr>
        <w:pStyle w:val="ListParagraph"/>
        <w:numPr>
          <w:ilvl w:val="0"/>
          <w:numId w:val="2"/>
        </w:numPr>
        <w:spacing w:after="40" w:before="40"/>
      </w:pPr>
      <w:r>
        <w:rPr>
          <w:rFonts w:ascii="Arial" w:cs="Arial" w:eastAsia="Arial" w:hAnsi="Arial"/>
          <w:color w:val="1A1A1A"/>
          <w:sz w:val="22"/>
          <w:szCs w:val="22"/>
        </w:rPr>
        <w:t xml:space="preserve">a Buyer payment is confirmed by the Payment Provider but not reflected in ANIMEX's internal records;</w:t>
      </w:r>
    </w:p>
    <w:p>
      <w:pPr>
        <w:pStyle w:val="ListParagraph"/>
        <w:numPr>
          <w:ilvl w:val="0"/>
          <w:numId w:val="2"/>
        </w:numPr>
        <w:spacing w:after="40" w:before="40"/>
      </w:pPr>
      <w:r>
        <w:rPr>
          <w:rFonts w:ascii="Arial" w:cs="Arial" w:eastAsia="Arial" w:hAnsi="Arial"/>
          <w:color w:val="1A1A1A"/>
          <w:sz w:val="22"/>
          <w:szCs w:val="22"/>
        </w:rPr>
        <w:t xml:space="preserve">a Seller payout was processed but does not match the approved payout record;</w:t>
      </w:r>
    </w:p>
    <w:p>
      <w:pPr>
        <w:pStyle w:val="ListParagraph"/>
        <w:numPr>
          <w:ilvl w:val="0"/>
          <w:numId w:val="2"/>
        </w:numPr>
        <w:spacing w:after="40" w:before="40"/>
      </w:pPr>
      <w:r>
        <w:rPr>
          <w:rFonts w:ascii="Arial" w:cs="Arial" w:eastAsia="Arial" w:hAnsi="Arial"/>
          <w:color w:val="1A1A1A"/>
          <w:sz w:val="22"/>
          <w:szCs w:val="22"/>
        </w:rPr>
        <w:t xml:space="preserve">a fee was charged but not recorded or was recorded at the wrong amount;</w:t>
      </w:r>
    </w:p>
    <w:p>
      <w:pPr>
        <w:pStyle w:val="ListParagraph"/>
        <w:numPr>
          <w:ilvl w:val="0"/>
          <w:numId w:val="2"/>
        </w:numPr>
        <w:spacing w:after="40" w:before="40"/>
      </w:pPr>
      <w:r>
        <w:rPr>
          <w:rFonts w:ascii="Arial" w:cs="Arial" w:eastAsia="Arial" w:hAnsi="Arial"/>
          <w:color w:val="1A1A1A"/>
          <w:sz w:val="22"/>
          <w:szCs w:val="22"/>
        </w:rPr>
        <w:t xml:space="preserve">a chargeback was processed but the corresponding Seller debit was not applied;</w:t>
      </w:r>
    </w:p>
    <w:p>
      <w:pPr>
        <w:pStyle w:val="ListParagraph"/>
        <w:numPr>
          <w:ilvl w:val="0"/>
          <w:numId w:val="2"/>
        </w:numPr>
        <w:spacing w:after="40" w:before="40"/>
      </w:pPr>
      <w:r>
        <w:rPr>
          <w:rFonts w:ascii="Arial" w:cs="Arial" w:eastAsia="Arial" w:hAnsi="Arial"/>
          <w:color w:val="1A1A1A"/>
          <w:sz w:val="22"/>
          <w:szCs w:val="22"/>
        </w:rPr>
        <w:t xml:space="preserve">the Payment Provider settlement report and ANIMEX's internal records differ by any amount.</w:t>
      </w:r>
    </w:p>
    <w:p>
      <w:pPr>
        <w:spacing w:after="80" w:before="80"/>
      </w:pPr>
      <w:r>
        <w:rPr>
          <w:rFonts w:ascii="Arial" w:cs="Arial" w:eastAsia="Arial" w:hAnsi="Arial"/>
          <w:color w:val="1A1A1A"/>
          <w:sz w:val="22"/>
          <w:szCs w:val="22"/>
        </w:rPr>
        <w:t xml:space="preserve">All exceptions must be investigated, documented, and resolved before the next reconciliation period. Recurring exceptions of the same type must be escalated as a systemic control failure.</w:t>
      </w:r>
    </w:p>
    <w:p>
      <w:pPr>
        <w:pStyle w:val="Heading2"/>
        <w:spacing w:after="120" w:before="280"/>
      </w:pPr>
      <w:r>
        <w:rPr>
          <w:rFonts w:ascii="Arial" w:cs="Arial" w:eastAsia="Arial" w:hAnsi="Arial"/>
          <w:b/>
          <w:bCs/>
          <w:color w:val="1A1A1A"/>
          <w:sz w:val="26"/>
          <w:szCs w:val="26"/>
        </w:rPr>
        <w:t xml:space="preserve">2.5  Reconciliation Roles</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Role</w:t>
            </w:r>
          </w:p>
        </w:tc>
        <w:tc>
          <w:tcPr>
            <w:tcW w:type="dxa" w:w="60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Responsibility</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Finance Lead / CFO</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Owns the daily and periodic reconciliation process; reviews all exceptions; signs off on monthly reconciliation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CTO</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Provides system-level transaction data; investigates technical discrepancies; ensures payment logs are accurate and complete</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CEO</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Reviews monthly reconciliation summary; approves escalated exceptions; receives alerts on material discrepancies above the ACTION REQUIRED threshold configured in the Board Delegations Register and Control Room before live use</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External Accountant / Auditor</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Reviews reconciliation process and records as part of annual accounts preparation</w:t>
            </w:r>
          </w:p>
        </w:tc>
      </w:tr>
    </w:tbl>
    <w:p>
      <w:pPr>
        <w:spacing w:after="60" w:before="60"/>
      </w:pPr>
      <w:r>
        <w:t xml:space="preserve"/>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3.  Revenue Recognition Policy</w:t>
      </w:r>
    </w:p>
    <w:p>
      <w:pPr>
        <w:shd w:fill="FFF2CC" w:val="clear"/>
        <w:spacing w:after="80" w:before="80"/>
        <w:ind w:left="360" w:right="360"/>
      </w:pPr>
      <w:r>
        <w:rPr>
          <w:rFonts w:ascii="Arial" w:cs="Arial" w:eastAsia="Arial" w:hAnsi="Arial"/>
          <w:b/>
          <w:bCs/>
          <w:color w:val="7F6000"/>
          <w:sz w:val="20"/>
          <w:szCs w:val="20"/>
        </w:rPr>
        <w:t xml:space="preserve">ACTION REQUIRED: Revenue recognition must be confirmed with ANIMEX's accountant and external auditor. South African Generally Accepted Accounting Practice (SA GAAP) or IFRS for SMEs applies depending on ANIMEX's size and reporting framework. This policy is a framework only.</w:t>
      </w:r>
    </w:p>
    <w:p>
      <w:pPr>
        <w:pStyle w:val="Heading2"/>
        <w:spacing w:after="120" w:before="280"/>
      </w:pPr>
      <w:r>
        <w:rPr>
          <w:rFonts w:ascii="Arial" w:cs="Arial" w:eastAsia="Arial" w:hAnsi="Arial"/>
          <w:b/>
          <w:bCs/>
          <w:color w:val="1A1A1A"/>
          <w:sz w:val="26"/>
          <w:szCs w:val="26"/>
        </w:rPr>
        <w:t xml:space="preserve">3.1  Revenue Categories</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Revenue Category</w:t>
            </w:r>
          </w:p>
        </w:tc>
        <w:tc>
          <w:tcPr>
            <w:tcW w:type="dxa" w:w="60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Recognition Point</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Listing fees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Recognised when the Listing goes live on the Platform - the service of providing listing access has been rendered</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Success / transaction fees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Recognised when the underlying transaction is completed - i.e., when Secure Checkout funds are released to the Seller and ANIMEX's fee is earned</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Adoption service fees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Recognised when the adoption transaction is completed and funds are released to the welfare organisation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Verification fees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Recognised when the verification process is completed and the verification status is applied</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Payment processing fee pass-throughs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Recognised on a gross or net basis as advised by ANIMEX's accountant, based on whether ANIMEX acts as principal or agent in the payment processing</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Cancellation and penalty fees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Recognised when the cancellation event occurs and the fee is charged</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Dispute handling fees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Recognised when the dispute is resolved and the fee is charged to the applicable party</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3.2  Deferred Revenue</w:t>
      </w:r>
    </w:p>
    <w:p>
      <w:pPr>
        <w:spacing w:after="80" w:before="80"/>
      </w:pPr>
      <w:r>
        <w:rPr>
          <w:rFonts w:ascii="Arial" w:cs="Arial" w:eastAsia="Arial" w:hAnsi="Arial"/>
          <w:color w:val="1A1A1A"/>
          <w:sz w:val="22"/>
          <w:szCs w:val="22"/>
        </w:rPr>
        <w:t xml:space="preserve">Where ANIMEX collects fees in advance for services not yet fully rendered (e.g. a multi-month listing fee), the unearned portion is recorded as deferred revenue and recognised over the service period.</w:t>
      </w:r>
    </w:p>
    <w:p>
      <w:pPr>
        <w:pStyle w:val="Heading2"/>
        <w:spacing w:after="120" w:before="280"/>
      </w:pPr>
      <w:r>
        <w:rPr>
          <w:rFonts w:ascii="Arial" w:cs="Arial" w:eastAsia="Arial" w:hAnsi="Arial"/>
          <w:b/>
          <w:bCs/>
          <w:color w:val="1A1A1A"/>
          <w:sz w:val="26"/>
          <w:szCs w:val="26"/>
        </w:rPr>
        <w:t xml:space="preserve">3.3  Refunds and Revenue Reversals</w:t>
      </w:r>
    </w:p>
    <w:p>
      <w:pPr>
        <w:spacing w:after="80" w:before="80"/>
      </w:pPr>
      <w:r>
        <w:rPr>
          <w:rFonts w:ascii="Arial" w:cs="Arial" w:eastAsia="Arial" w:hAnsi="Arial"/>
          <w:color w:val="1A1A1A"/>
          <w:sz w:val="22"/>
          <w:szCs w:val="22"/>
        </w:rPr>
        <w:t>Where a fee is refunded - due to a Seller refund, transaction cancellation, or platform error - the corresponding revenue previously recognised must be reversed in the period the refund is processed. Refunds must be reflected in ANIMEX's financial records in the same period as the payment.</w:t>
      </w:r>
    </w:p>
    <w:p>
      <w:pPr>
        <w:pStyle w:val="Heading2"/>
        <w:spacing w:after="120" w:before="280"/>
      </w:pPr>
      <w:r>
        <w:rPr>
          <w:rFonts w:ascii="Arial" w:cs="Arial" w:eastAsia="Arial" w:hAnsi="Arial"/>
          <w:b/>
          <w:bCs/>
          <w:color w:val="1A1A1A"/>
          <w:sz w:val="26"/>
          <w:szCs w:val="26"/>
        </w:rPr>
        <w:t xml:space="preserve">3.4  Chargebacks</w:t>
      </w:r>
    </w:p>
    <w:p>
      <w:pPr>
        <w:spacing w:after="80" w:before="80"/>
      </w:pPr>
      <w:r>
        <w:rPr>
          <w:rFonts w:ascii="Arial" w:cs="Arial" w:eastAsia="Arial" w:hAnsi="Arial"/>
          <w:color w:val="1A1A1A"/>
          <w:sz w:val="22"/>
          <w:szCs w:val="22"/>
        </w:rPr>
        <w:t xml:space="preserve">Where a chargeback results in a payment reversal after ANIMEX has recognised revenue from the related fee, the revenue reversal and the corresponding Seller debit must be recorded in the period the chargeback is confirmed by the Payment Provider.</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4.  VAT Compliance Policy</w:t>
      </w:r>
    </w:p>
    <w:p>
      <w:pPr>
        <w:shd w:fill="FFF2CC" w:val="clear"/>
        <w:spacing w:after="80" w:before="80"/>
        <w:ind w:left="360" w:right="360"/>
      </w:pPr>
      <w:r>
        <w:rPr>
          <w:rFonts w:ascii="Arial" w:cs="Arial" w:eastAsia="Arial" w:hAnsi="Arial"/>
          <w:b/>
          <w:bCs/>
          <w:color w:val="7F6000"/>
          <w:sz w:val="20"/>
          <w:szCs w:val="20"/>
        </w:rPr>
        <w:t xml:space="preserve">ACTION REQUIRED: VAT treatment must be confirmed with a registered South African tax practitioner before ANIMEX goes live. VAT Act 89 of 1991 applies. The collection agent model, adoption fees, and exported services each have specific VAT implications.</w:t>
      </w:r>
    </w:p>
    <w:p>
      <w:pPr>
        <w:pStyle w:val="Heading2"/>
        <w:spacing w:after="120" w:before="280"/>
      </w:pPr>
      <w:r>
        <w:rPr>
          <w:rFonts w:ascii="Arial" w:cs="Arial" w:eastAsia="Arial" w:hAnsi="Arial"/>
          <w:b/>
          <w:bCs/>
          <w:color w:val="1A1A1A"/>
          <w:sz w:val="26"/>
          <w:szCs w:val="26"/>
        </w:rPr>
        <w:t xml:space="preserve">4.1  VAT Registration</w:t>
      </w:r>
    </w:p>
    <w:p>
      <w:pPr>
        <w:spacing w:after="80" w:before="80"/>
      </w:pPr>
      <w:r>
        <w:rPr>
          <w:rFonts w:ascii="Arial" w:cs="Arial" w:eastAsia="Arial" w:hAnsi="Arial"/>
          <w:color w:val="1A1A1A"/>
          <w:sz w:val="22"/>
          <w:szCs w:val="22"/>
        </w:rPr>
        <w:t xml:space="preserve">ANIMEX must register as a VAT vendor with SARS when:</w:t>
      </w:r>
    </w:p>
    <w:p>
      <w:pPr>
        <w:pStyle w:val="ListParagraph"/>
        <w:numPr>
          <w:ilvl w:val="0"/>
          <w:numId w:val="2"/>
        </w:numPr>
        <w:spacing w:after="40" w:before="40"/>
      </w:pPr>
      <w:r>
        <w:rPr>
          <w:rFonts w:ascii="Arial" w:cs="Arial" w:eastAsia="Arial" w:hAnsi="Arial"/>
          <w:color w:val="1A1A1A"/>
          <w:sz w:val="22"/>
          <w:szCs w:val="22"/>
        </w:rPr>
        <w:t>taxable supplies exceed or are expected to exceed the current compulsory VAT registration threshold published by SARS. As at this Version 4.0 draft, SARS states the threshold is R2.3 million from 1 April 2026, subject to applicable exceptions and tax-practitioner confirmation; or</w:t>
      </w:r>
    </w:p>
    <w:p>
      <w:pPr>
        <w:pStyle w:val="ListParagraph"/>
        <w:numPr>
          <w:ilvl w:val="0"/>
          <w:numId w:val="2"/>
        </w:numPr>
        <w:spacing w:after="40" w:before="40"/>
      </w:pPr>
      <w:r>
        <w:rPr>
          <w:rFonts w:ascii="Arial" w:cs="Arial" w:eastAsia="Arial" w:hAnsi="Arial"/>
          <w:color w:val="1A1A1A"/>
          <w:sz w:val="22"/>
          <w:szCs w:val="22"/>
        </w:rPr>
        <w:t>ANIMEX elects to register voluntarily where the current SARS voluntary registration threshold and statutory requirements are satisfied. As at this Version 4.0 draft, SARS states the voluntary threshold is R120,000 from 1 April 2026, subject to applicable exceptions and tax-practitioner confirmation.</w:t>
      </w:r>
    </w:p>
    <w:p>
      <w:pPr>
        <w:spacing w:after="80" w:before="80"/>
      </w:pPr>
      <w:r>
        <w:rPr>
          <w:rFonts w:ascii="Arial" w:cs="Arial" w:eastAsia="Arial" w:hAnsi="Arial"/>
          <w:color w:val="1A1A1A"/>
          <w:sz w:val="22"/>
          <w:szCs w:val="22"/>
        </w:rPr>
        <w:t xml:space="preserve">ANIMEX's VAT number must appear on all tax invoices, credit notes, and relevant Platform disclosures. ANIMEX must immediately notify the Finance Lead if trading levels approach the compulsory registration threshold.</w:t>
      </w:r>
    </w:p>
    <w:p>
      <w:pPr>
        <w:pStyle w:val="Heading2"/>
        <w:spacing w:after="120" w:before="280"/>
      </w:pPr>
      <w:r>
        <w:rPr>
          <w:rFonts w:ascii="Arial" w:cs="Arial" w:eastAsia="Arial" w:hAnsi="Arial"/>
          <w:b/>
          <w:bCs/>
          <w:color w:val="1A1A1A"/>
          <w:sz w:val="26"/>
          <w:szCs w:val="26"/>
        </w:rPr>
        <w:t xml:space="preserve">4.2  VAT on Platform Fees</w:t>
      </w:r>
    </w:p>
    <w:p>
      <w:pPr>
        <w:spacing w:after="80" w:before="80"/>
      </w:pPr>
      <w:r>
        <w:rPr>
          <w:rFonts w:ascii="Arial" w:cs="Arial" w:eastAsia="Arial" w:hAnsi="Arial"/>
          <w:color w:val="1A1A1A"/>
          <w:sz w:val="22"/>
          <w:szCs w:val="22"/>
        </w:rPr>
        <w:t xml:space="preserve">Once registered, ANIMEX must charge VAT at the standard rate (currently 15%) on all fees charged to South African VAT-registered entities and to South African consumers for electronic services. This includes:</w:t>
      </w:r>
    </w:p>
    <w:p>
      <w:pPr>
        <w:pStyle w:val="ListParagraph"/>
        <w:numPr>
          <w:ilvl w:val="0"/>
          <w:numId w:val="2"/>
        </w:numPr>
        <w:spacing w:after="40" w:before="40"/>
      </w:pPr>
      <w:r>
        <w:rPr>
          <w:rFonts w:ascii="Arial" w:cs="Arial" w:eastAsia="Arial" w:hAnsi="Arial"/>
          <w:color w:val="1A1A1A"/>
          <w:sz w:val="22"/>
          <w:szCs w:val="22"/>
        </w:rPr>
        <w:t xml:space="preserve">listing fees;</w:t>
      </w:r>
    </w:p>
    <w:p>
      <w:pPr>
        <w:pStyle w:val="ListParagraph"/>
        <w:numPr>
          <w:ilvl w:val="0"/>
          <w:numId w:val="2"/>
        </w:numPr>
        <w:spacing w:after="40" w:before="40"/>
      </w:pPr>
      <w:r>
        <w:rPr>
          <w:rFonts w:ascii="Arial" w:cs="Arial" w:eastAsia="Arial" w:hAnsi="Arial"/>
          <w:color w:val="1A1A1A"/>
          <w:sz w:val="22"/>
          <w:szCs w:val="22"/>
        </w:rPr>
        <w:t xml:space="preserve">success and transaction fees;</w:t>
      </w:r>
    </w:p>
    <w:p>
      <w:pPr>
        <w:pStyle w:val="ListParagraph"/>
        <w:numPr>
          <w:ilvl w:val="0"/>
          <w:numId w:val="2"/>
        </w:numPr>
        <w:spacing w:after="40" w:before="40"/>
      </w:pPr>
      <w:r>
        <w:rPr>
          <w:rFonts w:ascii="Arial" w:cs="Arial" w:eastAsia="Arial" w:hAnsi="Arial"/>
          <w:color w:val="1A1A1A"/>
          <w:sz w:val="22"/>
          <w:szCs w:val="22"/>
        </w:rPr>
        <w:t xml:space="preserve">Secure Checkout service fees;</w:t>
      </w:r>
    </w:p>
    <w:p>
      <w:pPr>
        <w:pStyle w:val="ListParagraph"/>
        <w:numPr>
          <w:ilvl w:val="0"/>
          <w:numId w:val="2"/>
        </w:numPr>
        <w:spacing w:after="40" w:before="40"/>
      </w:pPr>
      <w:r>
        <w:rPr>
          <w:rFonts w:ascii="Arial" w:cs="Arial" w:eastAsia="Arial" w:hAnsi="Arial"/>
          <w:color w:val="1A1A1A"/>
          <w:sz w:val="22"/>
          <w:szCs w:val="22"/>
        </w:rPr>
        <w:t xml:space="preserve">adoption service fees;</w:t>
      </w:r>
    </w:p>
    <w:p>
      <w:pPr>
        <w:pStyle w:val="ListParagraph"/>
        <w:numPr>
          <w:ilvl w:val="0"/>
          <w:numId w:val="2"/>
        </w:numPr>
        <w:spacing w:after="40" w:before="40"/>
      </w:pPr>
      <w:r>
        <w:rPr>
          <w:rFonts w:ascii="Arial" w:cs="Arial" w:eastAsia="Arial" w:hAnsi="Arial"/>
          <w:color w:val="1A1A1A"/>
          <w:sz w:val="22"/>
          <w:szCs w:val="22"/>
        </w:rPr>
        <w:t xml:space="preserve">verification fees.</w:t>
      </w:r>
    </w:p>
    <w:p>
      <w:pPr>
        <w:spacing w:after="80" w:before="80"/>
      </w:pPr>
      <w:r>
        <w:rPr>
          <w:rFonts w:ascii="Arial" w:cs="Arial" w:eastAsia="Arial" w:hAnsi="Arial"/>
          <w:color w:val="1A1A1A"/>
          <w:sz w:val="22"/>
          <w:szCs w:val="22"/>
        </w:rPr>
        <w:t xml:space="preserve">ANIMEX must issue a tax invoice compliant with section 20 of the VAT Act for every VATable supply, including: ANIMEX's name and VAT number; Buyer's name and VAT number (where the Buyer is a VAT vendor); invoice number and date; description of the supply; value and VAT amount.</w:t>
      </w:r>
    </w:p>
    <w:p>
      <w:pPr>
        <w:pStyle w:val="Heading2"/>
        <w:spacing w:after="120" w:before="280"/>
      </w:pPr>
      <w:r>
        <w:rPr>
          <w:rFonts w:ascii="Arial" w:cs="Arial" w:eastAsia="Arial" w:hAnsi="Arial"/>
          <w:b/>
          <w:bCs/>
          <w:color w:val="1A1A1A"/>
          <w:sz w:val="26"/>
          <w:szCs w:val="26"/>
        </w:rPr>
        <w:t>4.3  VAT on Seller Payouts - Collection Agent Model</w:t>
      </w:r>
    </w:p>
    <w:p>
      <w:pPr>
        <w:spacing w:after="80" w:before="80"/>
      </w:pPr>
      <w:r>
        <w:rPr>
          <w:rFonts w:ascii="Arial" w:cs="Arial" w:eastAsia="Arial" w:hAnsi="Arial"/>
          <w:color w:val="1A1A1A"/>
          <w:sz w:val="22"/>
          <w:szCs w:val="22"/>
        </w:rPr>
        <w:t xml:space="preserve">Under the Secure Checkout Collection Agent model, ANIMEX collects Buyer payment on behalf of the Seller. The underlying sale is between the Buyer and the Seller. VAT on the underlying Animal sale is the Seller's responsibility, not ANIMEX's. ANIMEX charges VAT only on ANIMEX's own fees (success fees, listing fees, etc.).</w:t>
      </w:r>
    </w:p>
    <w:p>
      <w:pPr>
        <w:spacing w:after="80" w:before="80"/>
      </w:pPr>
      <w:r>
        <w:rPr>
          <w:rFonts w:ascii="Arial" w:cs="Arial" w:eastAsia="Arial" w:hAnsi="Arial"/>
          <w:color w:val="1A1A1A"/>
          <w:sz w:val="22"/>
          <w:szCs w:val="22"/>
        </w:rPr>
        <w:t xml:space="preserve">Sellers who are VAT vendors must account for VAT on their own Animal sales independently. ANIMEX's fee invoice to the Seller is a separate supply.</w:t>
      </w:r>
    </w:p>
    <w:p>
      <w:pPr>
        <w:shd w:fill="EEF4FB" w:val="clear"/>
        <w:spacing w:after="80" w:before="80"/>
        <w:ind w:left="360" w:right="360"/>
      </w:pPr>
      <w:r>
        <w:rPr>
          <w:rFonts w:ascii="Arial" w:cs="Arial" w:eastAsia="Arial" w:hAnsi="Arial"/>
          <w:i/>
          <w:iCs/>
          <w:color w:val="2F5496"/>
          <w:sz w:val="20"/>
          <w:szCs w:val="20"/>
        </w:rPr>
        <w:t xml:space="preserve">INTERNAL NOTE: The VAT treatment of ANIMEX's Collection Agent model must be specifically confirmed with a registered tax practitioner and SARS where necessary. The agent/principal distinction has material VAT consequences.</w:t>
      </w:r>
    </w:p>
    <w:p>
      <w:pPr>
        <w:pStyle w:val="Heading2"/>
        <w:spacing w:after="120" w:before="280"/>
      </w:pPr>
      <w:r>
        <w:rPr>
          <w:rFonts w:ascii="Arial" w:cs="Arial" w:eastAsia="Arial" w:hAnsi="Arial"/>
          <w:b/>
          <w:bCs/>
          <w:color w:val="1A1A1A"/>
          <w:sz w:val="26"/>
          <w:szCs w:val="26"/>
        </w:rPr>
        <w:t xml:space="preserve">4.4  VAT Returns</w:t>
      </w:r>
    </w:p>
    <w:p>
      <w:pPr>
        <w:spacing w:after="80" w:before="80"/>
      </w:pPr>
      <w:r>
        <w:rPr>
          <w:rFonts w:ascii="Arial" w:cs="Arial" w:eastAsia="Arial" w:hAnsi="Arial"/>
          <w:color w:val="1A1A1A"/>
          <w:sz w:val="22"/>
          <w:szCs w:val="22"/>
        </w:rPr>
        <w:t xml:space="preserve">ANIMEX must:</w:t>
      </w:r>
    </w:p>
    <w:p>
      <w:pPr>
        <w:pStyle w:val="ListParagraph"/>
        <w:numPr>
          <w:ilvl w:val="0"/>
          <w:numId w:val="2"/>
        </w:numPr>
        <w:spacing w:after="40" w:before="40"/>
      </w:pPr>
      <w:r>
        <w:rPr>
          <w:rFonts w:ascii="Arial" w:cs="Arial" w:eastAsia="Arial" w:hAnsi="Arial"/>
          <w:color w:val="1A1A1A"/>
          <w:sz w:val="22"/>
          <w:szCs w:val="22"/>
        </w:rPr>
        <w:t>submit VAT returns to SARS on a monthly or bi-monthly as registered with SARS basis as registered, by the due date;</w:t>
      </w:r>
    </w:p>
    <w:p>
      <w:pPr>
        <w:pStyle w:val="ListParagraph"/>
        <w:numPr>
          <w:ilvl w:val="0"/>
          <w:numId w:val="2"/>
        </w:numPr>
        <w:spacing w:after="40" w:before="40"/>
      </w:pPr>
      <w:r>
        <w:rPr>
          <w:rFonts w:ascii="Arial" w:cs="Arial" w:eastAsia="Arial" w:hAnsi="Arial"/>
          <w:color w:val="1A1A1A"/>
          <w:sz w:val="22"/>
          <w:szCs w:val="22"/>
        </w:rPr>
        <w:t xml:space="preserve">prepare and reconcile output VAT (VAT collected on fees) and input VAT (VAT paid on business expenses) for each VAT period;</w:t>
      </w:r>
    </w:p>
    <w:p>
      <w:pPr>
        <w:pStyle w:val="ListParagraph"/>
        <w:numPr>
          <w:ilvl w:val="0"/>
          <w:numId w:val="2"/>
        </w:numPr>
        <w:spacing w:after="40" w:before="40"/>
      </w:pPr>
      <w:r>
        <w:rPr>
          <w:rFonts w:ascii="Arial" w:cs="Arial" w:eastAsia="Arial" w:hAnsi="Arial"/>
          <w:color w:val="1A1A1A"/>
          <w:sz w:val="22"/>
          <w:szCs w:val="22"/>
        </w:rPr>
        <w:t xml:space="preserve">retain all tax invoices, credit notes, and supporting records for 5 (five) years as required by the VAT Act;</w:t>
      </w:r>
    </w:p>
    <w:p>
      <w:pPr>
        <w:pStyle w:val="ListParagraph"/>
        <w:numPr>
          <w:ilvl w:val="0"/>
          <w:numId w:val="2"/>
        </w:numPr>
        <w:spacing w:after="40" w:before="40"/>
      </w:pPr>
      <w:r>
        <w:rPr>
          <w:rFonts w:ascii="Arial" w:cs="Arial" w:eastAsia="Arial" w:hAnsi="Arial"/>
          <w:color w:val="1A1A1A"/>
          <w:sz w:val="22"/>
          <w:szCs w:val="22"/>
        </w:rPr>
        <w:t xml:space="preserve">appoint a registered tax practitioner to prepare or review VAT returns.</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5.  Tax Compliance Policy</w:t>
      </w:r>
    </w:p>
    <w:p>
      <w:pPr>
        <w:shd w:fill="FFF2CC" w:val="clear"/>
        <w:spacing w:after="80" w:before="80"/>
        <w:ind w:left="360" w:right="360"/>
      </w:pPr>
      <w:r>
        <w:rPr>
          <w:rFonts w:ascii="Arial" w:cs="Arial" w:eastAsia="Arial" w:hAnsi="Arial"/>
          <w:b/>
          <w:bCs/>
          <w:color w:val="7F6000"/>
          <w:sz w:val="20"/>
          <w:szCs w:val="20"/>
        </w:rPr>
        <w:t xml:space="preserve">ACTION REQUIRED: All tax positions must be confirmed with a registered South African tax practitioner. This policy is a governance framework.</w:t>
      </w:r>
    </w:p>
    <w:p>
      <w:pPr>
        <w:pStyle w:val="Heading2"/>
        <w:spacing w:after="120" w:before="280"/>
      </w:pPr>
      <w:r>
        <w:rPr>
          <w:rFonts w:ascii="Arial" w:cs="Arial" w:eastAsia="Arial" w:hAnsi="Arial"/>
          <w:b/>
          <w:bCs/>
          <w:color w:val="1A1A1A"/>
          <w:sz w:val="26"/>
          <w:szCs w:val="26"/>
        </w:rPr>
        <w:t xml:space="preserve">5.1  Corporate Income Tax</w:t>
      </w:r>
    </w:p>
    <w:p>
      <w:pPr>
        <w:spacing w:after="80" w:before="80"/>
      </w:pPr>
      <w:r>
        <w:rPr>
          <w:rFonts w:ascii="Arial" w:cs="Arial" w:eastAsia="Arial" w:hAnsi="Arial"/>
          <w:color w:val="1A1A1A"/>
          <w:sz w:val="22"/>
          <w:szCs w:val="22"/>
        </w:rPr>
        <w:t xml:space="preserve">ANIMEX is liable for corporate income tax on taxable income at the applicable rate (currently 27% for companies). ANIMEX must:</w:t>
      </w:r>
    </w:p>
    <w:p>
      <w:pPr>
        <w:pStyle w:val="ListParagraph"/>
        <w:numPr>
          <w:ilvl w:val="0"/>
          <w:numId w:val="2"/>
        </w:numPr>
        <w:spacing w:after="40" w:before="40"/>
      </w:pPr>
      <w:r>
        <w:rPr>
          <w:rFonts w:ascii="Arial" w:cs="Arial" w:eastAsia="Arial" w:hAnsi="Arial"/>
          <w:color w:val="1A1A1A"/>
          <w:sz w:val="22"/>
          <w:szCs w:val="22"/>
        </w:rPr>
        <w:t xml:space="preserve">register with SARS for income tax as a company;</w:t>
      </w:r>
    </w:p>
    <w:p>
      <w:pPr>
        <w:pStyle w:val="ListParagraph"/>
        <w:numPr>
          <w:ilvl w:val="0"/>
          <w:numId w:val="2"/>
        </w:numPr>
        <w:spacing w:after="40" w:before="40"/>
      </w:pPr>
      <w:r>
        <w:rPr>
          <w:rFonts w:ascii="Arial" w:cs="Arial" w:eastAsia="Arial" w:hAnsi="Arial"/>
          <w:color w:val="1A1A1A"/>
          <w:sz w:val="22"/>
          <w:szCs w:val="22"/>
        </w:rPr>
        <w:t xml:space="preserve">maintain accurate financial records sufficient to prepare annual tax returns;</w:t>
      </w:r>
    </w:p>
    <w:p>
      <w:pPr>
        <w:pStyle w:val="ListParagraph"/>
        <w:numPr>
          <w:ilvl w:val="0"/>
          <w:numId w:val="2"/>
        </w:numPr>
        <w:spacing w:after="40" w:before="40"/>
      </w:pPr>
      <w:r>
        <w:rPr>
          <w:rFonts w:ascii="Arial" w:cs="Arial" w:eastAsia="Arial" w:hAnsi="Arial"/>
          <w:color w:val="1A1A1A"/>
          <w:sz w:val="22"/>
          <w:szCs w:val="22"/>
        </w:rPr>
        <w:t xml:space="preserve">submit annual income tax returns (ITR14) by the SARS due date;</w:t>
      </w:r>
    </w:p>
    <w:p>
      <w:pPr>
        <w:pStyle w:val="ListParagraph"/>
        <w:numPr>
          <w:ilvl w:val="0"/>
          <w:numId w:val="2"/>
        </w:numPr>
        <w:spacing w:after="40" w:before="40"/>
      </w:pPr>
      <w:r>
        <w:rPr>
          <w:rFonts w:ascii="Arial" w:cs="Arial" w:eastAsia="Arial" w:hAnsi="Arial"/>
          <w:color w:val="1A1A1A"/>
          <w:sz w:val="22"/>
          <w:szCs w:val="22"/>
        </w:rPr>
        <w:t xml:space="preserve">make provisional tax payments (IRP6) in the first and second provisional tax periods as required;</w:t>
      </w:r>
    </w:p>
    <w:p>
      <w:pPr>
        <w:pStyle w:val="ListParagraph"/>
        <w:numPr>
          <w:ilvl w:val="0"/>
          <w:numId w:val="2"/>
        </w:numPr>
        <w:spacing w:after="40" w:before="40"/>
      </w:pPr>
      <w:r>
        <w:rPr>
          <w:rFonts w:ascii="Arial" w:cs="Arial" w:eastAsia="Arial" w:hAnsi="Arial"/>
          <w:color w:val="1A1A1A"/>
          <w:sz w:val="22"/>
          <w:szCs w:val="22"/>
        </w:rPr>
        <w:t xml:space="preserve">retain all records required by the Tax Administration Act 28 of 2011 for 5 years.</w:t>
      </w:r>
    </w:p>
    <w:p>
      <w:pPr>
        <w:pStyle w:val="Heading2"/>
        <w:spacing w:after="120" w:before="280"/>
      </w:pPr>
      <w:r>
        <w:rPr>
          <w:rFonts w:ascii="Arial" w:cs="Arial" w:eastAsia="Arial" w:hAnsi="Arial"/>
          <w:b/>
          <w:bCs/>
          <w:color w:val="1A1A1A"/>
          <w:sz w:val="26"/>
          <w:szCs w:val="26"/>
        </w:rPr>
        <w:t xml:space="preserve">5.2  PAYE, UIF, and SDL</w:t>
      </w:r>
    </w:p>
    <w:p>
      <w:pPr>
        <w:spacing w:after="80" w:before="80"/>
      </w:pPr>
      <w:r>
        <w:rPr>
          <w:rFonts w:ascii="Arial" w:cs="Arial" w:eastAsia="Arial" w:hAnsi="Arial"/>
          <w:color w:val="1A1A1A"/>
          <w:sz w:val="22"/>
          <w:szCs w:val="22"/>
        </w:rPr>
        <w:t xml:space="preserve">For all employees, ANIMEX must:</w:t>
      </w:r>
    </w:p>
    <w:p>
      <w:pPr>
        <w:pStyle w:val="ListParagraph"/>
        <w:numPr>
          <w:ilvl w:val="0"/>
          <w:numId w:val="2"/>
        </w:numPr>
        <w:spacing w:after="40" w:before="40"/>
      </w:pPr>
      <w:r>
        <w:rPr>
          <w:rFonts w:ascii="Arial" w:cs="Arial" w:eastAsia="Arial" w:hAnsi="Arial"/>
          <w:color w:val="1A1A1A"/>
          <w:sz w:val="22"/>
          <w:szCs w:val="22"/>
        </w:rPr>
        <w:t xml:space="preserve">register as an employer with SARS for PAYE (Pay As You Earn);</w:t>
      </w:r>
    </w:p>
    <w:p>
      <w:pPr>
        <w:pStyle w:val="ListParagraph"/>
        <w:numPr>
          <w:ilvl w:val="0"/>
          <w:numId w:val="2"/>
        </w:numPr>
        <w:spacing w:after="40" w:before="40"/>
      </w:pPr>
      <w:r>
        <w:rPr>
          <w:rFonts w:ascii="Arial" w:cs="Arial" w:eastAsia="Arial" w:hAnsi="Arial"/>
          <w:color w:val="1A1A1A"/>
          <w:sz w:val="22"/>
          <w:szCs w:val="22"/>
        </w:rPr>
        <w:t xml:space="preserve">deduct PAYE from each employee's remuneration at the applicable tax rate each month;</w:t>
      </w:r>
    </w:p>
    <w:p>
      <w:pPr>
        <w:pStyle w:val="ListParagraph"/>
        <w:numPr>
          <w:ilvl w:val="0"/>
          <w:numId w:val="2"/>
        </w:numPr>
        <w:spacing w:after="40" w:before="40"/>
      </w:pPr>
      <w:r>
        <w:rPr>
          <w:rFonts w:ascii="Arial" w:cs="Arial" w:eastAsia="Arial" w:hAnsi="Arial"/>
          <w:color w:val="1A1A1A"/>
          <w:sz w:val="22"/>
          <w:szCs w:val="22"/>
        </w:rPr>
        <w:t xml:space="preserve">deduct UIF contributions at the rate of 1% of remuneration (employee) and contribute 1% as employer;</w:t>
      </w:r>
    </w:p>
    <w:p>
      <w:pPr>
        <w:pStyle w:val="ListParagraph"/>
        <w:numPr>
          <w:ilvl w:val="0"/>
          <w:numId w:val="2"/>
        </w:numPr>
        <w:spacing w:after="40" w:before="40"/>
      </w:pPr>
      <w:r>
        <w:rPr>
          <w:rFonts w:ascii="Arial" w:cs="Arial" w:eastAsia="Arial" w:hAnsi="Arial"/>
          <w:color w:val="1A1A1A"/>
          <w:sz w:val="22"/>
          <w:szCs w:val="22"/>
        </w:rPr>
        <w:t xml:space="preserve">pay SDL (Skills Development Levy) at 1% of payroll where ANIMEX's total annual payroll exceeds R500,000;</w:t>
      </w:r>
    </w:p>
    <w:p>
      <w:pPr>
        <w:pStyle w:val="ListParagraph"/>
        <w:numPr>
          <w:ilvl w:val="0"/>
          <w:numId w:val="2"/>
        </w:numPr>
        <w:spacing w:after="40" w:before="40"/>
      </w:pPr>
      <w:r>
        <w:rPr>
          <w:rFonts w:ascii="Arial" w:cs="Arial" w:eastAsia="Arial" w:hAnsi="Arial"/>
          <w:color w:val="1A1A1A"/>
          <w:sz w:val="22"/>
          <w:szCs w:val="22"/>
        </w:rPr>
        <w:t xml:space="preserve">submit EMP201 monthly returns and EMP501 bi-annual reconciliations to SARS;</w:t>
      </w:r>
    </w:p>
    <w:p>
      <w:pPr>
        <w:pStyle w:val="ListParagraph"/>
        <w:numPr>
          <w:ilvl w:val="0"/>
          <w:numId w:val="2"/>
        </w:numPr>
        <w:spacing w:after="40" w:before="40"/>
      </w:pPr>
      <w:r>
        <w:rPr>
          <w:rFonts w:ascii="Arial" w:cs="Arial" w:eastAsia="Arial" w:hAnsi="Arial"/>
          <w:color w:val="1A1A1A"/>
          <w:sz w:val="22"/>
          <w:szCs w:val="22"/>
        </w:rPr>
        <w:t xml:space="preserve">issue IRP5 tax certificates to employees by the due date.</w:t>
      </w:r>
    </w:p>
    <w:p>
      <w:pPr>
        <w:pStyle w:val="Heading2"/>
        <w:spacing w:after="120" w:before="280"/>
      </w:pPr>
      <w:r>
        <w:rPr>
          <w:rFonts w:ascii="Arial" w:cs="Arial" w:eastAsia="Arial" w:hAnsi="Arial"/>
          <w:b/>
          <w:bCs/>
          <w:color w:val="1A1A1A"/>
          <w:sz w:val="26"/>
          <w:szCs w:val="26"/>
        </w:rPr>
        <w:t xml:space="preserve">5.3  Independent Contractors and Tax</w:t>
      </w:r>
    </w:p>
    <w:p>
      <w:pPr>
        <w:spacing w:after="80" w:before="80"/>
      </w:pPr>
      <w:r>
        <w:rPr>
          <w:rFonts w:ascii="Arial" w:cs="Arial" w:eastAsia="Arial" w:hAnsi="Arial"/>
          <w:color w:val="1A1A1A"/>
          <w:sz w:val="22"/>
          <w:szCs w:val="22"/>
        </w:rPr>
        <w:t xml:space="preserve">Where a contractor is a natural person and ANIMEX retains sufficient control over their work, SARS may deem them an employee for tax purposes, and PAYE obligations may apply regardless of the contract description. ANIMEX must assess each contractor arrangement with a tax practitioner before treating payments as contractor fees exempt from PAYE.</w:t>
      </w:r>
    </w:p>
    <w:p>
      <w:pPr>
        <w:pStyle w:val="Heading2"/>
        <w:spacing w:after="120" w:before="280"/>
      </w:pPr>
      <w:r>
        <w:rPr>
          <w:rFonts w:ascii="Arial" w:cs="Arial" w:eastAsia="Arial" w:hAnsi="Arial"/>
          <w:b/>
          <w:bCs/>
          <w:color w:val="1A1A1A"/>
          <w:sz w:val="26"/>
          <w:szCs w:val="26"/>
        </w:rPr>
        <w:t xml:space="preserve">5.4  Transfer Pricing and Cross-Border Transactions</w:t>
      </w:r>
    </w:p>
    <w:p>
      <w:pPr>
        <w:spacing w:after="80" w:before="80"/>
      </w:pPr>
      <w:r>
        <w:rPr>
          <w:rFonts w:ascii="Arial" w:cs="Arial" w:eastAsia="Arial" w:hAnsi="Arial"/>
          <w:color w:val="1A1A1A"/>
          <w:sz w:val="22"/>
          <w:szCs w:val="22"/>
        </w:rPr>
        <w:t>Where ANIMEX enters into transactions with related parties - including related companies, trusts, or persons connected to ANIMEX's directors - those transactions must be at arm's length and documented. Cross-border related party transactions are subject to SARS's transfer pricing rules under section 31 of the Income Tax Act 58 of 1962. Legal advice is required before entering into any cross-border related party arrangement.</w:t>
      </w:r>
    </w:p>
    <w:p>
      <w:pPr>
        <w:pStyle w:val="Heading2"/>
        <w:spacing w:after="120" w:before="280"/>
      </w:pPr>
      <w:r>
        <w:rPr>
          <w:rFonts w:ascii="Arial" w:cs="Arial" w:eastAsia="Arial" w:hAnsi="Arial"/>
          <w:b/>
          <w:bCs/>
          <w:color w:val="1A1A1A"/>
          <w:sz w:val="26"/>
          <w:szCs w:val="26"/>
        </w:rPr>
        <w:t xml:space="preserve">5.5  Exchange Control</w:t>
      </w:r>
    </w:p>
    <w:p>
      <w:pPr>
        <w:spacing w:after="80" w:before="80"/>
      </w:pPr>
      <w:r>
        <w:rPr>
          <w:rFonts w:ascii="Arial" w:cs="Arial" w:eastAsia="Arial" w:hAnsi="Arial"/>
          <w:color w:val="1A1A1A"/>
          <w:sz w:val="22"/>
          <w:szCs w:val="22"/>
        </w:rPr>
        <w:t>ANIMEX must comply with South Africa's exchange control regulations administered by the South African Reserve Bank (SARB). Any cross-border payment - including payments to foreign vendors, foreign contractors, or cross-border investment - must comply with exchange control rules. ANIMEX must obtain the necessary SARB approvals and report cross-border flows as required.</w:t>
      </w:r>
    </w:p>
    <w:p>
      <w:pPr>
        <w:pStyle w:val="Heading2"/>
        <w:spacing w:after="120" w:before="280"/>
      </w:pPr>
      <w:r>
        <w:rPr>
          <w:rFonts w:ascii="Arial" w:cs="Arial" w:eastAsia="Arial" w:hAnsi="Arial"/>
          <w:b/>
          <w:bCs/>
          <w:color w:val="1A1A1A"/>
          <w:sz w:val="26"/>
          <w:szCs w:val="26"/>
        </w:rPr>
        <w:t xml:space="preserve">5.6  Tax Record Retention</w:t>
      </w:r>
    </w:p>
    <w:p>
      <w:pPr>
        <w:spacing w:after="80" w:before="80"/>
      </w:pPr>
      <w:r>
        <w:rPr>
          <w:rFonts w:ascii="Arial" w:cs="Arial" w:eastAsia="Arial" w:hAnsi="Arial"/>
          <w:color w:val="1A1A1A"/>
          <w:sz w:val="22"/>
          <w:szCs w:val="22"/>
        </w:rPr>
        <w:t xml:space="preserve">ANIMEX must retain all tax records, returns, assessments, correspondence with SARS, invoices, receipts, and supporting documents for a minimum of 5 (five) years from the date of submission of the relevant return, or for the period required by the Tax Administration Act where longer. Records subject to a SARS audit or dispute must be preserved until the matter is finally resolved.</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6.  Anti-Financial Crime Controls</w:t>
      </w:r>
    </w:p>
    <w:p>
      <w:pPr>
        <w:spacing w:after="80" w:before="80"/>
      </w:pPr>
      <w:r>
        <w:rPr>
          <w:rFonts w:ascii="Arial" w:cs="Arial" w:eastAsia="Arial" w:hAnsi="Arial"/>
          <w:color w:val="1A1A1A"/>
          <w:sz w:val="22"/>
          <w:szCs w:val="22"/>
        </w:rPr>
        <w:t xml:space="preserve">This section is read together with the FICA/AML Risk Policy (Compliance Pack, Section 6) and the Financial Controls Policy (this pack, Section 1). It provides specific financial crime controls applicable to ANIMEX's payment flows.</w:t>
      </w:r>
    </w:p>
    <w:p>
      <w:pPr>
        <w:pStyle w:val="Heading2"/>
        <w:spacing w:after="120" w:before="280"/>
      </w:pPr>
      <w:r>
        <w:rPr>
          <w:rFonts w:ascii="Arial" w:cs="Arial" w:eastAsia="Arial" w:hAnsi="Arial"/>
          <w:b/>
          <w:bCs/>
          <w:color w:val="1A1A1A"/>
          <w:sz w:val="26"/>
          <w:szCs w:val="26"/>
        </w:rPr>
        <w:t xml:space="preserve">6.1  Know Your Customer (KYC)</w:t>
      </w:r>
    </w:p>
    <w:p>
      <w:pPr>
        <w:spacing w:after="80" w:before="80"/>
      </w:pPr>
      <w:r>
        <w:rPr>
          <w:rFonts w:ascii="Arial" w:cs="Arial" w:eastAsia="Arial" w:hAnsi="Arial"/>
          <w:color w:val="1A1A1A"/>
          <w:sz w:val="22"/>
          <w:szCs w:val="22"/>
        </w:rPr>
        <w:t xml:space="preserve">Before enabling Secure Checkout and payout features for any Seller, ANIMEX must complete a minimum KYC check:</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KYC Element</w:t>
            </w:r>
          </w:p>
        </w:tc>
        <w:tc>
          <w:tcPr>
            <w:tcW w:type="dxa" w:w="60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Requirement</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Identity verification</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Valid SA ID, passport, or company registration documents - verified against the Listing and account details</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Address verification</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Physical address confirmed via document, bank statement, or utility bill</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Bank account verification</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Bank account confirmed as belonging to the verified identity - micro-deposit or bank statement verification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Sanctions screening</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Name, ID, and company checked against OFAC, UN, EU, and South African sanctions lists</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PEP screening</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Politically Exposed Person check for high-risk or high-value accounts</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Enhanced due diligence</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Required for high-value transactions, unusual patterns, game/exotic animals, or any AML red flag trigger</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6.2  Transaction Monitoring</w:t>
      </w:r>
    </w:p>
    <w:p>
      <w:pPr>
        <w:spacing w:after="80" w:before="80"/>
      </w:pPr>
      <w:r>
        <w:rPr>
          <w:rFonts w:ascii="Arial" w:cs="Arial" w:eastAsia="Arial" w:hAnsi="Arial"/>
          <w:color w:val="1A1A1A"/>
          <w:sz w:val="22"/>
          <w:szCs w:val="22"/>
        </w:rPr>
        <w:t xml:space="preserve">ANIMEX's payment system must apply transaction monitoring rules including:</w:t>
      </w:r>
    </w:p>
    <w:p>
      <w:pPr>
        <w:pStyle w:val="ListParagraph"/>
        <w:numPr>
          <w:ilvl w:val="0"/>
          <w:numId w:val="2"/>
        </w:numPr>
        <w:spacing w:after="40" w:before="40"/>
      </w:pPr>
      <w:r>
        <w:rPr>
          <w:rFonts w:ascii="Arial" w:cs="Arial" w:eastAsia="Arial" w:hAnsi="Arial"/>
          <w:color w:val="1A1A1A"/>
          <w:sz w:val="22"/>
          <w:szCs w:val="22"/>
        </w:rPr>
        <w:t xml:space="preserve">velocity checks: flag accounts with unusually high transaction volumes in a short period;</w:t>
      </w:r>
    </w:p>
    <w:p>
      <w:pPr>
        <w:pStyle w:val="ListParagraph"/>
        <w:numPr>
          <w:ilvl w:val="0"/>
          <w:numId w:val="2"/>
        </w:numPr>
        <w:spacing w:after="40" w:before="40"/>
      </w:pPr>
      <w:r>
        <w:rPr>
          <w:rFonts w:ascii="Arial" w:cs="Arial" w:eastAsia="Arial" w:hAnsi="Arial"/>
          <w:color w:val="1A1A1A"/>
          <w:sz w:val="22"/>
          <w:szCs w:val="22"/>
        </w:rPr>
        <w:t xml:space="preserve">amount spike detection: flag transactions materially above the account's historical average;</w:t>
      </w:r>
    </w:p>
    <w:p>
      <w:pPr>
        <w:pStyle w:val="ListParagraph"/>
        <w:numPr>
          <w:ilvl w:val="0"/>
          <w:numId w:val="2"/>
        </w:numPr>
        <w:spacing w:after="40" w:before="40"/>
      </w:pPr>
      <w:r>
        <w:rPr>
          <w:rFonts w:ascii="Arial" w:cs="Arial" w:eastAsia="Arial" w:hAnsi="Arial"/>
          <w:color w:val="1A1A1A"/>
          <w:sz w:val="22"/>
          <w:szCs w:val="22"/>
        </w:rPr>
        <w:t xml:space="preserve">structuring detection: flag patterns of multiple transactions just below monitoring thresholds;</w:t>
      </w:r>
    </w:p>
    <w:p>
      <w:pPr>
        <w:pStyle w:val="ListParagraph"/>
        <w:numPr>
          <w:ilvl w:val="0"/>
          <w:numId w:val="2"/>
        </w:numPr>
        <w:spacing w:after="40" w:before="40"/>
      </w:pPr>
      <w:r>
        <w:rPr>
          <w:rFonts w:ascii="Arial" w:cs="Arial" w:eastAsia="Arial" w:hAnsi="Arial"/>
          <w:color w:val="1A1A1A"/>
          <w:sz w:val="22"/>
          <w:szCs w:val="22"/>
        </w:rPr>
        <w:t xml:space="preserve">geographic anomalies: flag transactions associated with high-risk jurisdictions;</w:t>
      </w:r>
    </w:p>
    <w:p>
      <w:pPr>
        <w:pStyle w:val="ListParagraph"/>
        <w:numPr>
          <w:ilvl w:val="0"/>
          <w:numId w:val="2"/>
        </w:numPr>
        <w:spacing w:after="40" w:before="40"/>
      </w:pPr>
      <w:r>
        <w:rPr>
          <w:rFonts w:ascii="Arial" w:cs="Arial" w:eastAsia="Arial" w:hAnsi="Arial"/>
          <w:color w:val="1A1A1A"/>
          <w:sz w:val="22"/>
          <w:szCs w:val="22"/>
        </w:rPr>
        <w:t xml:space="preserve">new account risk: apply enhanced monitoring to accounts that are newly created and conduct high-value transactions immediately;</w:t>
      </w:r>
    </w:p>
    <w:p>
      <w:pPr>
        <w:pStyle w:val="ListParagraph"/>
        <w:numPr>
          <w:ilvl w:val="0"/>
          <w:numId w:val="2"/>
        </w:numPr>
        <w:spacing w:after="40" w:before="40"/>
      </w:pPr>
      <w:r>
        <w:rPr>
          <w:rFonts w:ascii="Arial" w:cs="Arial" w:eastAsia="Arial" w:hAnsi="Arial"/>
          <w:color w:val="1A1A1A"/>
          <w:sz w:val="22"/>
          <w:szCs w:val="22"/>
        </w:rPr>
        <w:t>chargeback rate monitoring: automatically flag Seller accounts exceeding a chargeback rate of ACTION REQUIRED: insert approved percentage from the Risk Appetite Statement or Control Room configuration within any 30-day period.</w:t>
      </w:r>
    </w:p>
    <w:p>
      <w:pPr>
        <w:pStyle w:val="Heading2"/>
        <w:spacing w:after="120" w:before="280"/>
      </w:pPr>
      <w:r>
        <w:rPr>
          <w:rFonts w:ascii="Arial" w:cs="Arial" w:eastAsia="Arial" w:hAnsi="Arial"/>
          <w:b/>
          <w:bCs/>
          <w:color w:val="1A1A1A"/>
          <w:sz w:val="26"/>
          <w:szCs w:val="26"/>
        </w:rPr>
        <w:t xml:space="preserve">6.3  Sanctions Screening</w:t>
      </w:r>
    </w:p>
    <w:p>
      <w:pPr>
        <w:spacing w:after="80" w:before="80"/>
      </w:pPr>
      <w:r>
        <w:rPr>
          <w:rFonts w:ascii="Arial" w:cs="Arial" w:eastAsia="Arial" w:hAnsi="Arial"/>
          <w:color w:val="1A1A1A"/>
          <w:sz w:val="22"/>
          <w:szCs w:val="22"/>
        </w:rPr>
        <w:t>ANIMEX must screen payout recipients, Sellers, Verified Breeders, Welfare Partners, Vet Partners, high-value Buyers, and other risk-triggered Users against applicable sanctions lists on a risk-based basis including:</w:t>
      </w:r>
    </w:p>
    <w:p>
      <w:pPr>
        <w:pStyle w:val="ListParagraph"/>
        <w:numPr>
          <w:ilvl w:val="0"/>
          <w:numId w:val="2"/>
        </w:numPr>
        <w:spacing w:after="40" w:before="40"/>
      </w:pPr>
      <w:r>
        <w:rPr>
          <w:rFonts w:ascii="Arial" w:cs="Arial" w:eastAsia="Arial" w:hAnsi="Arial"/>
          <w:color w:val="1A1A1A"/>
          <w:sz w:val="22"/>
          <w:szCs w:val="22"/>
        </w:rPr>
        <w:t xml:space="preserve">the South African sanctions list (UNSC resolutions incorporated into South African law via the Protection of Constitutional Democracy Against Terrorist and Related Activities Act 33 of 2004);</w:t>
      </w:r>
    </w:p>
    <w:p>
      <w:pPr>
        <w:pStyle w:val="ListParagraph"/>
        <w:numPr>
          <w:ilvl w:val="0"/>
          <w:numId w:val="2"/>
        </w:numPr>
        <w:spacing w:after="40" w:before="40"/>
      </w:pPr>
      <w:r>
        <w:rPr>
          <w:rFonts w:ascii="Arial" w:cs="Arial" w:eastAsia="Arial" w:hAnsi="Arial"/>
          <w:color w:val="1A1A1A"/>
          <w:sz w:val="22"/>
          <w:szCs w:val="22"/>
        </w:rPr>
        <w:t xml:space="preserve">OFAC Specially Designated Nationals list;</w:t>
      </w:r>
    </w:p>
    <w:p>
      <w:pPr>
        <w:pStyle w:val="ListParagraph"/>
        <w:numPr>
          <w:ilvl w:val="0"/>
          <w:numId w:val="2"/>
        </w:numPr>
        <w:spacing w:after="40" w:before="40"/>
      </w:pPr>
      <w:r>
        <w:rPr>
          <w:rFonts w:ascii="Arial" w:cs="Arial" w:eastAsia="Arial" w:hAnsi="Arial"/>
          <w:color w:val="1A1A1A"/>
          <w:sz w:val="22"/>
          <w:szCs w:val="22"/>
        </w:rPr>
        <w:t xml:space="preserve">United Nations Security Council consolidated sanctions list;</w:t>
      </w:r>
    </w:p>
    <w:p>
      <w:pPr>
        <w:pStyle w:val="ListParagraph"/>
        <w:numPr>
          <w:ilvl w:val="0"/>
          <w:numId w:val="2"/>
        </w:numPr>
        <w:spacing w:after="40" w:before="40"/>
      </w:pPr>
      <w:r>
        <w:rPr>
          <w:rFonts w:ascii="Arial" w:cs="Arial" w:eastAsia="Arial" w:hAnsi="Arial"/>
          <w:color w:val="1A1A1A"/>
          <w:sz w:val="22"/>
          <w:szCs w:val="22"/>
        </w:rPr>
        <w:t xml:space="preserve">EU consolidated sanctions list.</w:t>
      </w:r>
    </w:p>
    <w:p>
      <w:pPr>
        <w:spacing w:after="80" w:before="80"/>
      </w:pPr>
      <w:r>
        <w:rPr>
          <w:rFonts w:ascii="Arial" w:cs="Arial" w:eastAsia="Arial" w:hAnsi="Arial"/>
          <w:color w:val="1A1A1A"/>
          <w:sz w:val="22"/>
          <w:szCs w:val="22"/>
        </w:rPr>
        <w:t xml:space="preserve">Any positive match must be immediately escalated to the Compliance Officer and ANIMEX's legal adviser. The User account must be frozen pending investigation. ANIMEX must not alert the User to the sanctions check or freeze until legal advice is received.</w:t>
      </w:r>
    </w:p>
    <w:p>
      <w:pPr>
        <w:pStyle w:val="Heading2"/>
        <w:spacing w:after="120" w:before="280"/>
      </w:pPr>
      <w:r>
        <w:rPr>
          <w:rFonts w:ascii="Arial" w:cs="Arial" w:eastAsia="Arial" w:hAnsi="Arial"/>
          <w:b/>
          <w:bCs/>
          <w:color w:val="1A1A1A"/>
          <w:sz w:val="26"/>
          <w:szCs w:val="26"/>
        </w:rPr>
        <w:t xml:space="preserve">6.4  Record Keeping</w:t>
      </w:r>
    </w:p>
    <w:p>
      <w:pPr>
        <w:spacing w:after="80" w:before="80"/>
      </w:pPr>
      <w:r>
        <w:rPr>
          <w:rFonts w:ascii="Arial" w:cs="Arial" w:eastAsia="Arial" w:hAnsi="Arial"/>
          <w:color w:val="1A1A1A"/>
          <w:sz w:val="22"/>
          <w:szCs w:val="22"/>
        </w:rPr>
        <w:t xml:space="preserve">ANIMEX must retain all KYC documents, transaction records, sanctions screening results, AML decisions, and STR records for minimum 5 (five) years from the date of the transaction or decision, as required by the FIC Act.</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7.  Financial Reporting and Audit Readiness</w:t>
      </w:r>
    </w:p>
    <w:p>
      <w:pPr>
        <w:pStyle w:val="Heading2"/>
        <w:spacing w:after="120" w:before="280"/>
      </w:pPr>
      <w:r>
        <w:rPr>
          <w:rFonts w:ascii="Arial" w:cs="Arial" w:eastAsia="Arial" w:hAnsi="Arial"/>
          <w:b/>
          <w:bCs/>
          <w:color w:val="1A1A1A"/>
          <w:sz w:val="26"/>
          <w:szCs w:val="26"/>
        </w:rPr>
        <w:t xml:space="preserve">7.1  Annual Financial Statements</w:t>
      </w:r>
    </w:p>
    <w:p>
      <w:pPr>
        <w:spacing w:after="80" w:before="80"/>
      </w:pPr>
      <w:r>
        <w:rPr>
          <w:rFonts w:ascii="Arial" w:cs="Arial" w:eastAsia="Arial" w:hAnsi="Arial"/>
          <w:color w:val="1A1A1A"/>
          <w:sz w:val="22"/>
          <w:szCs w:val="22"/>
        </w:rPr>
        <w:t xml:space="preserve">ANIMEX must prepare annual financial statements in accordance with:</w:t>
      </w:r>
    </w:p>
    <w:p>
      <w:pPr>
        <w:pStyle w:val="ListParagraph"/>
        <w:numPr>
          <w:ilvl w:val="0"/>
          <w:numId w:val="2"/>
        </w:numPr>
        <w:spacing w:after="40" w:before="40"/>
      </w:pPr>
      <w:r>
        <w:rPr>
          <w:rFonts w:ascii="Arial" w:cs="Arial" w:eastAsia="Arial" w:hAnsi="Arial"/>
          <w:color w:val="1A1A1A"/>
          <w:sz w:val="22"/>
          <w:szCs w:val="22"/>
        </w:rPr>
        <w:t>the Companies Act 71 of 2008 - specifically the financial reporting standards applicable to ANIMEX's company category;</w:t>
      </w:r>
    </w:p>
    <w:p>
      <w:pPr>
        <w:pStyle w:val="ListParagraph"/>
        <w:numPr>
          <w:ilvl w:val="0"/>
          <w:numId w:val="2"/>
        </w:numPr>
        <w:spacing w:after="40" w:before="40"/>
      </w:pPr>
      <w:r>
        <w:rPr>
          <w:rFonts w:ascii="Arial" w:cs="Arial" w:eastAsia="Arial" w:hAnsi="Arial"/>
          <w:color w:val="1A1A1A"/>
          <w:sz w:val="22"/>
          <w:szCs w:val="22"/>
        </w:rPr>
        <w:t xml:space="preserve">IFRS for SMEs, or the South African Financial Reporting Standard for SMEs, as applicable to ANIMEX's size and public interest score;</w:t>
      </w:r>
    </w:p>
    <w:p>
      <w:pPr>
        <w:pStyle w:val="ListParagraph"/>
        <w:numPr>
          <w:ilvl w:val="0"/>
          <w:numId w:val="2"/>
        </w:numPr>
        <w:spacing w:after="40" w:before="40"/>
      </w:pPr>
      <w:r>
        <w:rPr>
          <w:rFonts w:ascii="Arial" w:cs="Arial" w:eastAsia="Arial" w:hAnsi="Arial"/>
          <w:color w:val="1A1A1A"/>
          <w:sz w:val="22"/>
          <w:szCs w:val="22"/>
        </w:rPr>
        <w:t xml:space="preserve">the income tax framework for purposes of the annual ITR14 return.</w:t>
      </w:r>
    </w:p>
    <w:p>
      <w:pPr>
        <w:spacing w:after="80" w:before="80"/>
      </w:pPr>
      <w:r>
        <w:rPr>
          <w:rFonts w:ascii="Arial" w:cs="Arial" w:eastAsia="Arial" w:hAnsi="Arial"/>
          <w:color w:val="1A1A1A"/>
          <w:sz w:val="22"/>
          <w:szCs w:val="22"/>
        </w:rPr>
        <w:t xml:space="preserve">Where ANIMEX's public interest score (calculated under Regulation 26 to the Companies Act) requires an audit or independent review, ANIMEX must appoint a registered auditor or accounting officer as required. ANIMEX's accountant must advise on this obligation as the business grows.</w:t>
      </w:r>
    </w:p>
    <w:p>
      <w:pPr>
        <w:pStyle w:val="Heading2"/>
        <w:spacing w:after="120" w:before="280"/>
      </w:pPr>
      <w:r>
        <w:rPr>
          <w:rFonts w:ascii="Arial" w:cs="Arial" w:eastAsia="Arial" w:hAnsi="Arial"/>
          <w:b/>
          <w:bCs/>
          <w:color w:val="1A1A1A"/>
          <w:sz w:val="26"/>
          <w:szCs w:val="26"/>
        </w:rPr>
        <w:t xml:space="preserve">7.2  Audit Readiness</w:t>
      </w:r>
    </w:p>
    <w:p>
      <w:pPr>
        <w:spacing w:after="80" w:before="80"/>
      </w:pPr>
      <w:r>
        <w:rPr>
          <w:rFonts w:ascii="Arial" w:cs="Arial" w:eastAsia="Arial" w:hAnsi="Arial"/>
          <w:color w:val="1A1A1A"/>
          <w:sz w:val="22"/>
          <w:szCs w:val="22"/>
        </w:rPr>
        <w:t xml:space="preserve">ANIMEX must maintain records and systems that support a clean audit, including:</w:t>
      </w:r>
    </w:p>
    <w:p>
      <w:pPr>
        <w:pStyle w:val="ListParagraph"/>
        <w:numPr>
          <w:ilvl w:val="0"/>
          <w:numId w:val="2"/>
        </w:numPr>
        <w:spacing w:after="40" w:before="40"/>
      </w:pPr>
      <w:r>
        <w:rPr>
          <w:rFonts w:ascii="Arial" w:cs="Arial" w:eastAsia="Arial" w:hAnsi="Arial"/>
          <w:color w:val="1A1A1A"/>
          <w:sz w:val="22"/>
          <w:szCs w:val="22"/>
        </w:rPr>
        <w:t xml:space="preserve">complete, accurate, and timely accounting records in a SARS-compliant accounting system;</w:t>
      </w:r>
    </w:p>
    <w:p>
      <w:pPr>
        <w:pStyle w:val="ListParagraph"/>
        <w:numPr>
          <w:ilvl w:val="0"/>
          <w:numId w:val="2"/>
        </w:numPr>
        <w:spacing w:after="40" w:before="40"/>
      </w:pPr>
      <w:r>
        <w:rPr>
          <w:rFonts w:ascii="Arial" w:cs="Arial" w:eastAsia="Arial" w:hAnsi="Arial"/>
          <w:color w:val="1A1A1A"/>
          <w:sz w:val="22"/>
          <w:szCs w:val="22"/>
        </w:rPr>
        <w:t xml:space="preserve">all invoices, receipts, bank statements, and supporting documents retained electronically for minimum 5 years;</w:t>
      </w:r>
    </w:p>
    <w:p>
      <w:pPr>
        <w:pStyle w:val="ListParagraph"/>
        <w:numPr>
          <w:ilvl w:val="0"/>
          <w:numId w:val="2"/>
        </w:numPr>
        <w:spacing w:after="40" w:before="40"/>
      </w:pPr>
      <w:r>
        <w:rPr>
          <w:rFonts w:ascii="Arial" w:cs="Arial" w:eastAsia="Arial" w:hAnsi="Arial"/>
          <w:color w:val="1A1A1A"/>
          <w:sz w:val="22"/>
          <w:szCs w:val="22"/>
        </w:rPr>
        <w:t xml:space="preserve">reconciliation records as described in the Payment Reconciliation Policy (this pack, Section 2);</w:t>
      </w:r>
    </w:p>
    <w:p>
      <w:pPr>
        <w:pStyle w:val="ListParagraph"/>
        <w:numPr>
          <w:ilvl w:val="0"/>
          <w:numId w:val="2"/>
        </w:numPr>
        <w:spacing w:after="40" w:before="40"/>
      </w:pPr>
      <w:r>
        <w:rPr>
          <w:rFonts w:ascii="Arial" w:cs="Arial" w:eastAsia="Arial" w:hAnsi="Arial"/>
          <w:color w:val="1A1A1A"/>
          <w:sz w:val="22"/>
          <w:szCs w:val="22"/>
        </w:rPr>
        <w:t xml:space="preserve">board resolutions, shareholder decisions, and corporate governance records as required by the Companies Act;</w:t>
      </w:r>
    </w:p>
    <w:p>
      <w:pPr>
        <w:pStyle w:val="ListParagraph"/>
        <w:numPr>
          <w:ilvl w:val="0"/>
          <w:numId w:val="2"/>
        </w:numPr>
        <w:spacing w:after="40" w:before="40"/>
      </w:pPr>
      <w:r>
        <w:rPr>
          <w:rFonts w:ascii="Arial" w:cs="Arial" w:eastAsia="Arial" w:hAnsi="Arial"/>
          <w:color w:val="1A1A1A"/>
          <w:sz w:val="22"/>
          <w:szCs w:val="22"/>
        </w:rPr>
        <w:t xml:space="preserve">all contracts, vendor agreements, and DPAs filed and accessible;</w:t>
      </w:r>
    </w:p>
    <w:p>
      <w:pPr>
        <w:pStyle w:val="ListParagraph"/>
        <w:numPr>
          <w:ilvl w:val="0"/>
          <w:numId w:val="2"/>
        </w:numPr>
        <w:spacing w:after="40" w:before="40"/>
      </w:pPr>
      <w:r>
        <w:rPr>
          <w:rFonts w:ascii="Arial" w:cs="Arial" w:eastAsia="Arial" w:hAnsi="Arial"/>
          <w:color w:val="1A1A1A"/>
          <w:sz w:val="22"/>
          <w:szCs w:val="22"/>
        </w:rPr>
        <w:t xml:space="preserve">POPIA compliance records including the Information Officer registration, data subject request log, breach records, and PIA records.</w:t>
      </w:r>
    </w:p>
    <w:p>
      <w:pPr>
        <w:pStyle w:val="Heading2"/>
        <w:spacing w:after="120" w:before="280"/>
      </w:pPr>
      <w:r>
        <w:rPr>
          <w:rFonts w:ascii="Arial" w:cs="Arial" w:eastAsia="Arial" w:hAnsi="Arial"/>
          <w:b/>
          <w:bCs/>
          <w:color w:val="1A1A1A"/>
          <w:sz w:val="26"/>
          <w:szCs w:val="26"/>
        </w:rPr>
        <w:t xml:space="preserve">7.3  Management Letter and Audit Findings</w:t>
      </w:r>
    </w:p>
    <w:p>
      <w:pPr>
        <w:spacing w:after="80" w:before="80"/>
      </w:pPr>
      <w:r>
        <w:rPr>
          <w:rFonts w:ascii="Arial" w:cs="Arial" w:eastAsia="Arial" w:hAnsi="Arial"/>
          <w:color w:val="1A1A1A"/>
          <w:sz w:val="22"/>
          <w:szCs w:val="22"/>
        </w:rPr>
        <w:t>ANIMEX must respond to all management letter points and audit findings within 30 calendar days of receipt. Material findings must be remediated with a documented action plan approved by the CEO. Recurring findings are treated as a control failure requiring escalation.</w:t>
      </w:r>
    </w:p>
    <w:p>
      <w:pPr>
        <w:pBdr>
          <w:bottom w:val="single" w:color="1F4E79" w:sz="6" w:space="1"/>
        </w:pBdr>
        <w:spacing w:after="200" w:before="200"/>
      </w:pPr>
      <w:r>
        <w:t xml:space="preserve"/>
      </w:r>
    </w:p>
    <w:p>
      <w:pPr>
        <w:spacing w:after="80" w:before="80"/>
      </w:pPr>
      <w:r>
        <w:rPr>
          <w:rFonts w:ascii="Arial" w:cs="Arial" w:eastAsia="Arial" w:hAnsi="Arial"/>
          <w:color w:val="1A1A1A"/>
          <w:sz w:val="22"/>
          <w:szCs w:val="22"/>
        </w:rPr>
        <w:t>ANIMEX Financial Controls &amp; Tax Compliance Pack - Version 4.0 - Effective Date: Pending approval/publication</w:t>
      </w:r>
    </w:p>
    <w:p>
      <w:pPr>
        <w:spacing w:after="80" w:before="80"/>
      </w:pPr>
      <w:r>
        <w:rPr>
          <w:rFonts w:ascii="Arial" w:cs="Arial" w:eastAsia="Arial" w:hAnsi="Arial"/>
          <w:color w:val="1A1A1A"/>
          <w:sz w:val="22"/>
          <w:szCs w:val="22"/>
        </w:rPr>
        <w:t xml:space="preserve">This document requires review by a South African accountant, tax practitioner, and legal adviser before implementation.</w:t>
      </w:r>
    </w:p>
    <w:p>
      <w:r>
        <w:br w:type="page"/>
      </w:r>
    </w:p>
    <w:p>
      <w:r>
        <w:t>V4 Accuracy, Factuality, and Webapp-Alignment Statement</w:t>
      </w:r>
    </w:p>
    <w:p>
      <w:r>
        <w:rPr>
          <w:b/>
          <w:sz w:val="32"/>
        </w:rPr>
        <w:t>V4 Accuracy, Factuality, and Webapp-Alignment Statement</w:t>
      </w:r>
    </w:p>
    <w:p>
      <w:r>
        <w:t>This Version 4.0 document was prepared using the supplied app reference ZIP (animexofficial-d4e558a3-main.zip) and the uploaded V3 policy packs as the baseline. It reflects the webapp structure, company configuration, categories, routes, payment-state model, Supabase/Netlify/PayFast architecture, and Control Room features visible in the ZIP as at 11 May 2026.</w:t>
      </w:r>
    </w:p>
    <w:p>
      <w:r>
        <w:t>No registered-office address, VAT number/status, Information Officer name, final fee amounts, final internal approval thresholds, insurance limits, bank-account details, or role-specific HR contract fields were present in the supplied app ZIP. Those items are marked as ACTION REQUIRED or TEMPLATE FIELD rather than invented.</w:t>
      </w:r>
    </w:p>
    <w:p>
      <w:r>
        <w:t>Where legal, tax, labour, or regulatory facts may change, this document uses checked public-source wording current for this draft and requires final review by the appropriate South African attorney, tax practitioner, labour adviser, information officer, insurer, payment provider, and technical security reviewer before production use.</w:t>
      </w:r>
    </w:p>
    <w:p>
      <w:r>
        <w:t>If the webapp implementation and this document conflict, the affected app flow must not launch until the discrepancy is resolved by updating the code, updating published app copy, or revising this document through the Control Room terms/versioning process.</w:t>
      </w:r>
    </w:p>
    <w:p>
      <w:r>
        <w:t>Webapp alignment - finance, tax, and payment controls</w:t>
      </w:r>
    </w:p>
    <w:p>
      <w:r>
        <w:rPr>
          <w:b/>
          <w:sz w:val="26"/>
        </w:rPr>
        <w:t>Webapp alignment - finance, tax, and payment controls</w:t>
      </w:r>
    </w:p>
    <w:p>
      <w:r>
        <w:t>- Financial controls align to the app payment architecture: PayFast checkout/ITN, paid/held marketplace orders, held payouts, Control Room payments, platform_config fees, chargebacks, refunds, and scheduled release checks.</w:t>
      </w:r>
    </w:p>
    <w:p>
      <w:r>
        <w:t>- VAT thresholds were updated to current checked SARS wording for this draft: compulsory threshold R2.3 million and voluntary threshold R120,000 from 1 April 2026, subject to applicable exceptions and tax-practitioner confirmation.</w:t>
      </w:r>
    </w:p>
    <w:p>
      <w:r>
        <w:t>- The company income-tax rate reference remains 27% for companies for the 1 April 2026 to 31 March 2027 assessment period, subject to future SARS/Parliament changes.</w:t>
      </w:r>
    </w:p>
    <w:p>
      <w:r>
        <w:t>- Revenue recognition now distinguishes listing fees/boost fees that may be earned immediately from marketplace animal transaction fees that are earned only when the underlying transaction/review/payout release conditions are satisfied.</w:t>
      </w:r>
    </w:p>
    <w:p>
      <w:r>
        <w:t>- No bank account, VAT number, final fee table, threshold table, insurance schedule, or accountant-confirmed revenue recognition memo was present in the app ZIP; these remain action-required.</w:t>
      </w:r>
    </w:p>
    <w:sectPr>
      <w:footerReference w:type="default" r:id="rId7"/>
      <w:headerReference w:type="default" r:id="rId9"/>
      <w:headerReference w:type="first" r:id="rId10"/>
      <w:footerReference w:type="first" r:id="rId11"/>
      <w:headerReference w:type="even" r:id="rId12"/>
      <w:footerReference w:type="even" r:id="rId13"/>
      <w:pgSz w:w="11906" w:h="16838" w:orient="portrait"/>
      <w:pgMar w:top="1008" w:right="1008" w:bottom="1008" w:left="100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rPr>
      <w:t>ANIMEX Version 4.0 - Webapp-aligned draft - 11 May 2026 - Attorney/tax/security review required before launch</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lowerLetter"/>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400"/>
      <w:outlineLvl w:val="0"/>
    </w:pPr>
    <w:rPr>
      <w:rFonts w:ascii="Arial" w:cs="Arial" w:eastAsia="Arial" w:hAnsi="Arial"/>
      <w:b/>
      <w:bCs/>
      <w:color w:val="1F4E79"/>
      <w:sz w:val="32"/>
      <w:szCs w:val="32"/>
    </w:rPr>
  </w:style>
  <w:style w:type="paragraph" w:styleId="Heading2">
    <w:name w:val="Heading 2"/>
    <w:basedOn w:val="Normal"/>
    <w:next w:val="Normal"/>
    <w:qFormat/>
    <w:pPr>
      <w:spacing w:after="120" w:before="280"/>
      <w:outlineLvl w:val="1"/>
    </w:pPr>
    <w:rPr>
      <w:rFonts w:ascii="Arial" w:cs="Arial" w:eastAsia="Arial" w:hAnsi="Arial"/>
      <w:b/>
      <w:bCs/>
      <w:color w:val="1A1A1A"/>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OpenAI for ANIMEX</dc:creator>
  <cp:lastModifiedBy>Un-named</cp:lastModifiedBy>
  <cp:revision>1</cp:revision>
  <dcterms:created xsi:type="dcterms:W3CDTF">2026-05-11T19:27:25.049Z</dcterms:created>
  <dcterms:modified xsi:type="dcterms:W3CDTF">2026-05-11T19:27:25.050Z</dcterms:modified>
  <dc:title>ANIMEX Financial Controls Tax Pack v4</dc:title>
  <dc:subject>ANIMEX Version 4.0 webapp-aligned legal and control pack</dc:subject>
  <dc:description>Generated from user-provided V3 DOCX files and app ZIP. Review required before publication.</dc:description>
  <cp:keywords>ANIMEX, legal, policy, South Africa, POPIA, PayFast, Supabase, marketplace</cp:keywords>
</cp:coreProperties>
</file>

<file path=docProps/custom.xml><?xml version="1.0" encoding="utf-8"?>
<Properties xmlns="http://schemas.openxmlformats.org/officeDocument/2006/custom-properties" xmlns:vt="http://schemas.openxmlformats.org/officeDocument/2006/docPropsVTypes"/>
</file>