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EMPLOYMENT &amp; HR PACK</w:t>
      </w:r>
    </w:p>
    <w:p>
      <w:pPr>
        <w:spacing w:after="60" w:before="0"/>
        <w:jc w:val="center"/>
      </w:pPr>
      <w:r>
        <w:rPr>
          <w:rFonts w:ascii="Arial" w:cs="Arial" w:eastAsia="Arial" w:hAnsi="Arial"/>
          <w:i/>
          <w:iCs/>
          <w:color w:val="595959"/>
          <w:sz w:val="22"/>
          <w:szCs w:val="22"/>
        </w:rPr>
        <w:t xml:space="preserve">Employment Contract Template · Contractor Agreement · Staff Confidentiality · Leave &amp; Expense · Social Media · Disciplinary · Grievance</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Employment Contract Template</w:t>
      </w:r>
    </w:p>
    <w:p>
      <w:pPr>
        <w:spacing w:after="80" w:before="80"/>
      </w:pPr>
      <w:r>
        <w:rPr>
          <w:rFonts w:ascii="Arial" w:cs="Arial" w:eastAsia="Arial" w:hAnsi="Arial"/>
          <w:color w:val="1A1A1A"/>
          <w:sz w:val="22"/>
          <w:szCs w:val="22"/>
        </w:rPr>
        <w:t>This Agreement of Employment ("Agreement") is entered into between ANIMEX (Pty) Ltd, registration number 2026/171061/07 ("ANIMEX" or the "Employer") and TEMPLATE FIELD: employee full legal name, identity number TEMPLATE FIELD: identity number ("Employee").</w:t>
      </w:r>
    </w:p>
    <w:p>
      <w:pPr>
        <w:shd w:fill="FFF2CC" w:val="clear"/>
        <w:spacing w:after="80" w:before="80"/>
        <w:ind w:left="360" w:right="360"/>
      </w:pPr>
      <w:r>
        <w:rPr>
          <w:rFonts w:ascii="Arial" w:cs="Arial" w:eastAsia="Arial" w:hAnsi="Arial"/>
          <w:b/>
          <w:bCs/>
          <w:color w:val="7F6000"/>
          <w:sz w:val="20"/>
          <w:szCs w:val="20"/>
        </w:rPr>
        <w:t xml:space="preserve">ACTION REQUIRED: This template must be reviewed by a South African labour attorney before use. The Basic Conditions of Employment Act 75 of 1997 (BCEA), Labour Relations Act 66 of 1995 (LRA), Employment Equity Act 55 of 1998 (EEA), and Skills Development Act 97 of 1998 (SDA) apply to all employment agreements.</w:t>
      </w:r>
    </w:p>
    <w:p>
      <w:pPr>
        <w:pStyle w:val="Heading2"/>
        <w:spacing w:after="120" w:before="280"/>
      </w:pPr>
      <w:r>
        <w:rPr>
          <w:rFonts w:ascii="Arial" w:cs="Arial" w:eastAsia="Arial" w:hAnsi="Arial"/>
          <w:b/>
          <w:bCs/>
          <w:color w:val="1A1A1A"/>
          <w:sz w:val="26"/>
          <w:szCs w:val="26"/>
        </w:rPr>
        <w:t xml:space="preserve">1.1  Commencement</w:t>
      </w:r>
    </w:p>
    <w:p>
      <w:pPr>
        <w:spacing w:after="80" w:before="80"/>
      </w:pPr>
      <w:r>
        <w:rPr>
          <w:rFonts w:ascii="Arial" w:cs="Arial" w:eastAsia="Arial" w:hAnsi="Arial"/>
          <w:color w:val="1A1A1A"/>
          <w:sz w:val="22"/>
          <w:szCs w:val="22"/>
        </w:rPr>
        <w:t>Employment commences on TEMPLATE FIELD: commencement date. This Agreement is subject to a probationary period of TEMPLATE FIELD: probation period, usually 3 or 6 months, during which either party may terminate on TEMPLATE FIELD: probation notice period written notice. Performance will be reviewed before the end of the probationary period.</w:t>
      </w:r>
    </w:p>
    <w:p>
      <w:pPr>
        <w:pStyle w:val="Heading2"/>
        <w:spacing w:after="120" w:before="280"/>
      </w:pPr>
      <w:r>
        <w:rPr>
          <w:rFonts w:ascii="Arial" w:cs="Arial" w:eastAsia="Arial" w:hAnsi="Arial"/>
          <w:b/>
          <w:bCs/>
          <w:color w:val="1A1A1A"/>
          <w:sz w:val="26"/>
          <w:szCs w:val="26"/>
        </w:rPr>
        <w:t xml:space="preserve">1.2  Position and Duties</w:t>
      </w:r>
    </w:p>
    <w:p>
      <w:pPr>
        <w:spacing w:after="80" w:before="80"/>
      </w:pPr>
      <w:r>
        <w:rPr>
          <w:rFonts w:ascii="Arial" w:cs="Arial" w:eastAsia="Arial" w:hAnsi="Arial"/>
          <w:color w:val="1A1A1A"/>
          <w:sz w:val="22"/>
          <w:szCs w:val="22"/>
        </w:rPr>
        <w:t>The Employee is appointed as TEMPLATE FIELD: job title in the TEMPLATE FIELD: department. The Employee's primary duties and responsibilities are as described in the Job Description attached as Schedule A, which forms part of this Agreement.</w:t>
      </w:r>
    </w:p>
    <w:p>
      <w:pPr>
        <w:spacing w:after="80" w:before="80"/>
      </w:pPr>
      <w:r>
        <w:rPr>
          <w:rFonts w:ascii="Arial" w:cs="Arial" w:eastAsia="Arial" w:hAnsi="Arial"/>
          <w:color w:val="1A1A1A"/>
          <w:sz w:val="22"/>
          <w:szCs w:val="22"/>
        </w:rPr>
        <w:t xml:space="preserve">ANIMEX may reasonably update the Employee's duties from time to time, consistent with the Employee's skills, experience, and role level. Significant changes require written agreement.</w:t>
      </w:r>
    </w:p>
    <w:p>
      <w:pPr>
        <w:pStyle w:val="Heading2"/>
        <w:spacing w:after="120" w:before="280"/>
      </w:pPr>
      <w:r>
        <w:rPr>
          <w:rFonts w:ascii="Arial" w:cs="Arial" w:eastAsia="Arial" w:hAnsi="Arial"/>
          <w:b/>
          <w:bCs/>
          <w:color w:val="1A1A1A"/>
          <w:sz w:val="26"/>
          <w:szCs w:val="26"/>
        </w:rPr>
        <w:t xml:space="preserve">1.3  Place of Work</w:t>
      </w:r>
    </w:p>
    <w:p>
      <w:pPr>
        <w:spacing w:after="80" w:before="80"/>
      </w:pPr>
      <w:r>
        <w:rPr>
          <w:rFonts w:ascii="Arial" w:cs="Arial" w:eastAsia="Arial" w:hAnsi="Arial"/>
          <w:color w:val="1A1A1A"/>
          <w:sz w:val="22"/>
          <w:szCs w:val="22"/>
        </w:rPr>
        <w:t>The primary place of work is TEMPLATE FIELD: office, remote, or hybrid work location. ANIMEX may require the Employee to work from different locations or from home with reasonable notice. Any change to the primary place of work that constitutes a fundamental change to conditions of employment requires written agreement.</w:t>
      </w:r>
    </w:p>
    <w:p>
      <w:pPr>
        <w:pStyle w:val="Heading2"/>
        <w:spacing w:after="120" w:before="280"/>
      </w:pPr>
      <w:r>
        <w:rPr>
          <w:rFonts w:ascii="Arial" w:cs="Arial" w:eastAsia="Arial" w:hAnsi="Arial"/>
          <w:b/>
          <w:bCs/>
          <w:color w:val="1A1A1A"/>
          <w:sz w:val="26"/>
          <w:szCs w:val="26"/>
        </w:rPr>
        <w:t xml:space="preserve">1.4  Working Hours</w:t>
      </w:r>
    </w:p>
    <w:p>
      <w:pPr>
        <w:spacing w:after="80" w:before="80"/>
      </w:pPr>
      <w:r>
        <w:rPr>
          <w:rFonts w:ascii="Arial" w:cs="Arial" w:eastAsia="Arial" w:hAnsi="Arial"/>
          <w:color w:val="1A1A1A"/>
          <w:sz w:val="22"/>
          <w:szCs w:val="22"/>
        </w:rPr>
        <w:t>The Employee's ordinary working hours are TEMPLATE FIELD: ordinary hours per day hours per day, TEMPLATE FIELD: ordinary days per week days per week, in accordance with the BCEA. Overtime is payable at TEMPLATE FIELD: overtime rate or lawful exemption for authorised overtime hours above the BCEA ordinary hours threshold, except where the Employee is employed in a managerial or senior position to which the BCEA overtime provisions do not apply.</w:t>
      </w:r>
    </w:p>
    <w:p>
      <w:pPr>
        <w:pStyle w:val="Heading2"/>
        <w:spacing w:after="120" w:before="280"/>
      </w:pPr>
      <w:r>
        <w:rPr>
          <w:rFonts w:ascii="Arial" w:cs="Arial" w:eastAsia="Arial" w:hAnsi="Arial"/>
          <w:b/>
          <w:bCs/>
          <w:color w:val="1A1A1A"/>
          <w:sz w:val="26"/>
          <w:szCs w:val="26"/>
        </w:rPr>
        <w:t xml:space="preserve">1.5  Remuneration</w:t>
      </w:r>
    </w:p>
    <w:p>
      <w:pPr>
        <w:spacing w:after="80" w:before="80"/>
      </w:pPr>
      <w:r>
        <w:rPr>
          <w:rFonts w:ascii="Arial" w:cs="Arial" w:eastAsia="Arial" w:hAnsi="Arial"/>
          <w:color w:val="1A1A1A"/>
          <w:sz w:val="22"/>
          <w:szCs w:val="22"/>
        </w:rPr>
        <w:t>The Employee's gross monthly remuneration is ACTION REQUIRED: insert approved Rand amount from the live Fee Schedule or Delegations Register, payable on the TEMPLATE FIELD: agreed payroll date of each month by electronic funds transfer to the Employee's nominated bank account.</w:t>
      </w:r>
    </w:p>
    <w:p>
      <w:pPr>
        <w:spacing w:after="80" w:before="80"/>
      </w:pPr>
      <w:r>
        <w:rPr>
          <w:rFonts w:ascii="Arial" w:cs="Arial" w:eastAsia="Arial" w:hAnsi="Arial"/>
          <w:color w:val="1A1A1A"/>
          <w:sz w:val="22"/>
          <w:szCs w:val="22"/>
        </w:rPr>
        <w:t xml:space="preserve">Remuneration includes:</w:t>
      </w:r>
    </w:p>
    <w:p>
      <w:pPr>
        <w:pStyle w:val="ListParagraph"/>
        <w:numPr>
          <w:ilvl w:val="0"/>
          <w:numId w:val="2"/>
        </w:numPr>
        <w:spacing w:after="40" w:before="40"/>
      </w:pPr>
      <w:r>
        <w:rPr>
          <w:rFonts w:ascii="Arial" w:cs="Arial" w:eastAsia="Arial" w:hAnsi="Arial"/>
          <w:color w:val="1A1A1A"/>
          <w:sz w:val="22"/>
          <w:szCs w:val="22"/>
        </w:rPr>
        <w:t>Basic salary: ACTION REQUIRED: insert approved Rand amount from the live Fee Schedule or Delegations Register</w:t>
      </w:r>
    </w:p>
    <w:p>
      <w:pPr>
        <w:pStyle w:val="ListParagraph"/>
        <w:numPr>
          <w:ilvl w:val="0"/>
          <w:numId w:val="2"/>
        </w:numPr>
        <w:spacing w:after="40" w:before="40"/>
      </w:pPr>
      <w:r>
        <w:rPr>
          <w:rFonts w:ascii="Arial" w:cs="Arial" w:eastAsia="Arial" w:hAnsi="Arial"/>
          <w:color w:val="1A1A1A"/>
          <w:sz w:val="22"/>
          <w:szCs w:val="22"/>
        </w:rPr>
        <w:t>Other allowances or benefits (if any): TEMPLATE FIELD: describe or state None</w:t>
      </w:r>
    </w:p>
    <w:p>
      <w:pPr>
        <w:spacing w:after="80" w:before="80"/>
      </w:pPr>
      <w:r>
        <w:rPr>
          <w:rFonts w:ascii="Arial" w:cs="Arial" w:eastAsia="Arial" w:hAnsi="Arial"/>
          <w:color w:val="1A1A1A"/>
          <w:sz w:val="22"/>
          <w:szCs w:val="22"/>
        </w:rPr>
        <w:t xml:space="preserve">The Employer deducts PAYE, UIF, and any other statutory deduction from the Employee's remuneration as required by law. The Employee is responsible for their own income tax obligations in respect of any non-standard tax treatment.</w:t>
      </w:r>
    </w:p>
    <w:p>
      <w:pPr>
        <w:pStyle w:val="Heading2"/>
        <w:spacing w:after="120" w:before="280"/>
      </w:pPr>
      <w:r>
        <w:rPr>
          <w:rFonts w:ascii="Arial" w:cs="Arial" w:eastAsia="Arial" w:hAnsi="Arial"/>
          <w:b/>
          <w:bCs/>
          <w:color w:val="1A1A1A"/>
          <w:sz w:val="26"/>
          <w:szCs w:val="26"/>
        </w:rPr>
        <w:t xml:space="preserve">1.6  Benefits</w:t>
      </w:r>
    </w:p>
    <w:p>
      <w:pPr>
        <w:spacing w:after="80" w:before="80"/>
      </w:pPr>
      <w:r>
        <w:rPr>
          <w:rFonts w:ascii="Arial" w:cs="Arial" w:eastAsia="Arial" w:hAnsi="Arial"/>
          <w:color w:val="1A1A1A"/>
          <w:sz w:val="22"/>
          <w:szCs w:val="22"/>
        </w:rPr>
        <w:t xml:space="preserve">The Employee is entitled to the following benefits:</w:t>
      </w:r>
    </w:p>
    <w:p>
      <w:pPr>
        <w:pStyle w:val="ListParagraph"/>
        <w:numPr>
          <w:ilvl w:val="0"/>
          <w:numId w:val="2"/>
        </w:numPr>
        <w:spacing w:after="40" w:before="40"/>
      </w:pPr>
      <w:r>
        <w:rPr>
          <w:rFonts w:ascii="Arial" w:cs="Arial" w:eastAsia="Arial" w:hAnsi="Arial"/>
          <w:color w:val="1A1A1A"/>
          <w:sz w:val="22"/>
          <w:szCs w:val="22"/>
        </w:rPr>
        <w:t>Annual leave: at least 21 consecutive days per annual leave cycle, or an equivalent lawful arrangement under the BCEA and the signed schedule;</w:t>
      </w:r>
    </w:p>
    <w:p>
      <w:pPr>
        <w:pStyle w:val="ListParagraph"/>
        <w:numPr>
          <w:ilvl w:val="0"/>
          <w:numId w:val="2"/>
        </w:numPr>
        <w:spacing w:after="40" w:before="40"/>
      </w:pPr>
      <w:r>
        <w:rPr>
          <w:rFonts w:ascii="Arial" w:cs="Arial" w:eastAsia="Arial" w:hAnsi="Arial"/>
          <w:color w:val="1A1A1A"/>
          <w:sz w:val="22"/>
          <w:szCs w:val="22"/>
        </w:rPr>
        <w:t>Sick leave: in accordance with the BCEA, equal to the number of days the employee would normally work during a six-week period in each 36-month sick-leave cycle, with lawful pro-rata treatment during the first six months;</w:t>
      </w:r>
    </w:p>
    <w:p>
      <w:pPr>
        <w:pStyle w:val="ListParagraph"/>
        <w:numPr>
          <w:ilvl w:val="0"/>
          <w:numId w:val="2"/>
        </w:numPr>
        <w:spacing w:after="40" w:before="40"/>
      </w:pPr>
      <w:r>
        <w:rPr>
          <w:rFonts w:ascii="Arial" w:cs="Arial" w:eastAsia="Arial" w:hAnsi="Arial"/>
          <w:color w:val="1A1A1A"/>
          <w:sz w:val="22"/>
          <w:szCs w:val="22"/>
        </w:rPr>
        <w:t xml:space="preserve">Family responsibility leave: 3 days per annual cycle in accordance with the BCEA;</w:t>
      </w:r>
    </w:p>
    <w:p>
      <w:pPr>
        <w:pStyle w:val="ListParagraph"/>
        <w:numPr>
          <w:ilvl w:val="0"/>
          <w:numId w:val="2"/>
        </w:numPr>
        <w:spacing w:after="40" w:before="40"/>
      </w:pPr>
      <w:r>
        <w:rPr>
          <w:rFonts w:ascii="Arial" w:cs="Arial" w:eastAsia="Arial" w:hAnsi="Arial"/>
          <w:color w:val="1A1A1A"/>
          <w:sz w:val="22"/>
          <w:szCs w:val="22"/>
        </w:rPr>
        <w:t xml:space="preserve">Public holidays as gazetted in South Africa;</w:t>
      </w:r>
    </w:p>
    <w:p>
      <w:pPr>
        <w:pStyle w:val="ListParagraph"/>
        <w:numPr>
          <w:ilvl w:val="0"/>
          <w:numId w:val="2"/>
        </w:numPr>
        <w:spacing w:after="40" w:before="40"/>
      </w:pPr>
      <w:r>
        <w:rPr>
          <w:rFonts w:ascii="Arial" w:cs="Arial" w:eastAsia="Arial" w:hAnsi="Arial"/>
          <w:color w:val="1A1A1A"/>
          <w:sz w:val="22"/>
          <w:szCs w:val="22"/>
        </w:rPr>
        <w:t xml:space="preserve">UIF contributions as required by the Unemployment Insurance Contributions Act 4 of 2002;</w:t>
      </w:r>
    </w:p>
    <w:p>
      <w:pPr>
        <w:pStyle w:val="ListParagraph"/>
        <w:numPr>
          <w:ilvl w:val="0"/>
          <w:numId w:val="2"/>
        </w:numPr>
        <w:spacing w:after="40" w:before="40"/>
      </w:pPr>
      <w:r>
        <w:rPr>
          <w:rFonts w:ascii="Arial" w:cs="Arial" w:eastAsia="Arial" w:hAnsi="Arial"/>
          <w:color w:val="1A1A1A"/>
          <w:sz w:val="22"/>
          <w:szCs w:val="22"/>
        </w:rPr>
        <w:t>TEMPLATE FIELD: describe benefits or state Not provided.</w:t>
      </w:r>
    </w:p>
    <w:p>
      <w:pPr>
        <w:pStyle w:val="Heading2"/>
        <w:spacing w:after="120" w:before="280"/>
      </w:pPr>
      <w:r>
        <w:rPr>
          <w:rFonts w:ascii="Arial" w:cs="Arial" w:eastAsia="Arial" w:hAnsi="Arial"/>
          <w:b/>
          <w:bCs/>
          <w:color w:val="1A1A1A"/>
          <w:sz w:val="26"/>
          <w:szCs w:val="26"/>
        </w:rPr>
        <w:t xml:space="preserve">1.7  Expense Reimbursement</w:t>
      </w:r>
    </w:p>
    <w:p>
      <w:pPr>
        <w:spacing w:after="80" w:before="80"/>
      </w:pPr>
      <w:r>
        <w:rPr>
          <w:rFonts w:ascii="Arial" w:cs="Arial" w:eastAsia="Arial" w:hAnsi="Arial"/>
          <w:color w:val="1A1A1A"/>
          <w:sz w:val="22"/>
          <w:szCs w:val="22"/>
        </w:rPr>
        <w:t>ANIMEX reimburses reasonable, pre-approved business expenses incurred by the Employee in the performance of their duties, in accordance with the Expense Policy (this pack, Section 5). Expenses must be submitted with supporting receipts within 30 calendar days of being incurred.</w:t>
      </w:r>
    </w:p>
    <w:p>
      <w:pPr>
        <w:pStyle w:val="Heading2"/>
        <w:spacing w:after="120" w:before="280"/>
      </w:pPr>
      <w:r>
        <w:rPr>
          <w:rFonts w:ascii="Arial" w:cs="Arial" w:eastAsia="Arial" w:hAnsi="Arial"/>
          <w:b/>
          <w:bCs/>
          <w:color w:val="1A1A1A"/>
          <w:sz w:val="26"/>
          <w:szCs w:val="26"/>
        </w:rPr>
        <w:t xml:space="preserve">1.8  Confidentiality and IP</w:t>
      </w:r>
    </w:p>
    <w:p>
      <w:pPr>
        <w:spacing w:after="80" w:before="80"/>
      </w:pPr>
      <w:r>
        <w:rPr>
          <w:rFonts w:ascii="Arial" w:cs="Arial" w:eastAsia="Arial" w:hAnsi="Arial"/>
          <w:color w:val="1A1A1A"/>
          <w:sz w:val="22"/>
          <w:szCs w:val="22"/>
        </w:rPr>
        <w:t xml:space="preserve">The Employee must maintain strict confidentiality of all ANIMEX confidential information, User personal information, business strategies, platform data, financial information, and operational information, during and after employment, in accordance with the Staff Confidentiality and IP Agreement (this pack, Section 3).</w:t>
      </w:r>
    </w:p>
    <w:p>
      <w:pPr>
        <w:spacing w:after="80" w:before="80"/>
      </w:pPr>
      <w:r>
        <w:rPr>
          <w:rFonts w:ascii="Arial" w:cs="Arial" w:eastAsia="Arial" w:hAnsi="Arial"/>
          <w:color w:val="1A1A1A"/>
          <w:sz w:val="22"/>
          <w:szCs w:val="22"/>
        </w:rPr>
        <w:t xml:space="preserve">All intellectual property created by the Employee in the course of their employment, or using ANIMEX resources, belongs to ANIMEX under section 21 of the Copyright Act 98 of 1978 and the Employee's IP assignment in Schedule B.</w:t>
      </w:r>
    </w:p>
    <w:p>
      <w:pPr>
        <w:pStyle w:val="Heading2"/>
        <w:spacing w:after="120" w:before="280"/>
      </w:pPr>
      <w:r>
        <w:rPr>
          <w:rFonts w:ascii="Arial" w:cs="Arial" w:eastAsia="Arial" w:hAnsi="Arial"/>
          <w:b/>
          <w:bCs/>
          <w:color w:val="1A1A1A"/>
          <w:sz w:val="26"/>
          <w:szCs w:val="26"/>
        </w:rPr>
        <w:t xml:space="preserve">1.9  Restraint of Trade</w:t>
      </w:r>
    </w:p>
    <w:p>
      <w:pPr>
        <w:spacing w:after="80" w:before="80"/>
      </w:pPr>
      <w:r>
        <w:rPr>
          <w:rFonts w:ascii="Arial" w:cs="Arial" w:eastAsia="Arial" w:hAnsi="Arial"/>
          <w:color w:val="1A1A1A"/>
          <w:sz w:val="22"/>
          <w:szCs w:val="22"/>
        </w:rPr>
        <w:t>For TEMPLATE FIELD: restraint period if lawful and approved, usually 6 or 12 months following termination of employment, the Employee may not:</w:t>
      </w:r>
    </w:p>
    <w:p>
      <w:pPr>
        <w:pStyle w:val="ListParagraph"/>
        <w:numPr>
          <w:ilvl w:val="0"/>
          <w:numId w:val="2"/>
        </w:numPr>
        <w:spacing w:after="40" w:before="40"/>
      </w:pPr>
      <w:r>
        <w:rPr>
          <w:rFonts w:ascii="Arial" w:cs="Arial" w:eastAsia="Arial" w:hAnsi="Arial"/>
          <w:color w:val="1A1A1A"/>
          <w:sz w:val="22"/>
          <w:szCs w:val="22"/>
        </w:rPr>
        <w:t>be employed by, consult for, invest in (beyond passive holdings of less than 5%), or establish a directly competing online animal marketplace operating in South Africa;</w:t>
      </w:r>
    </w:p>
    <w:p>
      <w:pPr>
        <w:pStyle w:val="ListParagraph"/>
        <w:numPr>
          <w:ilvl w:val="0"/>
          <w:numId w:val="2"/>
        </w:numPr>
        <w:spacing w:after="40" w:before="40"/>
      </w:pPr>
      <w:r>
        <w:rPr>
          <w:rFonts w:ascii="Arial" w:cs="Arial" w:eastAsia="Arial" w:hAnsi="Arial"/>
          <w:color w:val="1A1A1A"/>
          <w:sz w:val="22"/>
          <w:szCs w:val="22"/>
        </w:rPr>
        <w:t xml:space="preserve">solicit or entice away ANIMEX Users, Welfare Partners, Verified Breeders, Vet Partners, or vendors with whom the Employee had direct contact during their employment.</w:t>
      </w:r>
    </w:p>
    <w:p>
      <w:pPr>
        <w:spacing w:after="80" w:before="80"/>
      </w:pPr>
      <w:r>
        <w:rPr>
          <w:rFonts w:ascii="Arial" w:cs="Arial" w:eastAsia="Arial" w:hAnsi="Arial"/>
          <w:color w:val="1A1A1A"/>
          <w:sz w:val="22"/>
          <w:szCs w:val="22"/>
        </w:rPr>
        <w:t xml:space="preserve">The restraint applies within the Republic of South Africa. The parties acknowledge this restraint is reasonably necessary to protect ANIMEX's legitimate business interests. ANIMEX will not enforce the restraint where the Employee is made redundant through no fault of the Employee.</w:t>
      </w:r>
    </w:p>
    <w:p>
      <w:pPr>
        <w:shd w:fill="EEF4FB" w:val="clear"/>
        <w:spacing w:after="80" w:before="80"/>
        <w:ind w:left="360" w:right="360"/>
      </w:pPr>
      <w:r>
        <w:rPr>
          <w:rFonts w:ascii="Arial" w:cs="Arial" w:eastAsia="Arial" w:hAnsi="Arial"/>
          <w:i/>
          <w:iCs/>
          <w:color w:val="2F5496"/>
          <w:sz w:val="20"/>
          <w:szCs w:val="20"/>
        </w:rPr>
        <w:t xml:space="preserve">INTERNAL NOTE: Restraint of trade clauses must be carefully drafted with a South African labour attorney. South African courts apply the Magna Alloys and Basson v Chilwan tests for enforcement. This clause is a starting point only.</w:t>
      </w:r>
    </w:p>
    <w:p>
      <w:pPr>
        <w:pStyle w:val="Heading2"/>
        <w:spacing w:after="120" w:before="280"/>
      </w:pPr>
      <w:r>
        <w:rPr>
          <w:rFonts w:ascii="Arial" w:cs="Arial" w:eastAsia="Arial" w:hAnsi="Arial"/>
          <w:b/>
          <w:bCs/>
          <w:color w:val="1A1A1A"/>
          <w:sz w:val="26"/>
          <w:szCs w:val="26"/>
        </w:rPr>
        <w:t xml:space="preserve">1.10  Policies and Procedures</w:t>
      </w:r>
    </w:p>
    <w:p>
      <w:pPr>
        <w:spacing w:after="80" w:before="80"/>
      </w:pPr>
      <w:r>
        <w:rPr>
          <w:rFonts w:ascii="Arial" w:cs="Arial" w:eastAsia="Arial" w:hAnsi="Arial"/>
          <w:color w:val="1A1A1A"/>
          <w:sz w:val="22"/>
          <w:szCs w:val="22"/>
        </w:rPr>
        <w:t xml:space="preserve">The Employee must comply with all ANIMEX policies and procedures as published and updated from time to time, including this Employment and HR Pack, the Admin and Staff AUP (Compliance Pack, Section 4), the Anti-Bribery Policy (Governance Pack, Section 3), the Conflicts of Interest Policy (Governance Pack, Section 4), and the Data Breach Response Plan (Compliance Pack, Section 5).</w:t>
      </w:r>
    </w:p>
    <w:p>
      <w:pPr>
        <w:pStyle w:val="Heading2"/>
        <w:spacing w:after="120" w:before="280"/>
      </w:pPr>
      <w:r>
        <w:rPr>
          <w:rFonts w:ascii="Arial" w:cs="Arial" w:eastAsia="Arial" w:hAnsi="Arial"/>
          <w:b/>
          <w:bCs/>
          <w:color w:val="1A1A1A"/>
          <w:sz w:val="26"/>
          <w:szCs w:val="26"/>
        </w:rPr>
        <w:t xml:space="preserve">1.11  Termination</w:t>
      </w:r>
    </w:p>
    <w:p>
      <w:pPr>
        <w:spacing w:after="80" w:before="80"/>
      </w:pPr>
      <w:r>
        <w:rPr>
          <w:rFonts w:ascii="Arial" w:cs="Arial" w:eastAsia="Arial" w:hAnsi="Arial"/>
          <w:color w:val="1A1A1A"/>
          <w:sz w:val="22"/>
          <w:szCs w:val="22"/>
        </w:rPr>
        <w:t xml:space="preserve">After probation, the minimum notice period is as required by section 37 of the BCEA based on the Employee's period of employment:</w:t>
      </w:r>
    </w:p>
    <w:p>
      <w:pPr>
        <w:pStyle w:val="ListParagraph"/>
        <w:numPr>
          <w:ilvl w:val="0"/>
          <w:numId w:val="2"/>
        </w:numPr>
        <w:spacing w:after="40" w:before="40"/>
      </w:pPr>
      <w:r>
        <w:rPr>
          <w:rFonts w:ascii="Arial" w:cs="Arial" w:eastAsia="Arial" w:hAnsi="Arial"/>
          <w:color w:val="1A1A1A"/>
          <w:sz w:val="22"/>
          <w:szCs w:val="22"/>
        </w:rPr>
        <w:t xml:space="preserve">Less than 6 months: 1 week;</w:t>
      </w:r>
    </w:p>
    <w:p>
      <w:pPr>
        <w:pStyle w:val="ListParagraph"/>
        <w:numPr>
          <w:ilvl w:val="0"/>
          <w:numId w:val="2"/>
        </w:numPr>
        <w:spacing w:after="40" w:before="40"/>
      </w:pPr>
      <w:r>
        <w:rPr>
          <w:rFonts w:ascii="Arial" w:cs="Arial" w:eastAsia="Arial" w:hAnsi="Arial"/>
          <w:color w:val="1A1A1A"/>
          <w:sz w:val="22"/>
          <w:szCs w:val="22"/>
        </w:rPr>
        <w:t xml:space="preserve">6 months to less than 1 year: 2 weeks;</w:t>
      </w:r>
    </w:p>
    <w:p>
      <w:pPr>
        <w:pStyle w:val="ListParagraph"/>
        <w:numPr>
          <w:ilvl w:val="0"/>
          <w:numId w:val="2"/>
        </w:numPr>
        <w:spacing w:after="40" w:before="40"/>
      </w:pPr>
      <w:r>
        <w:rPr>
          <w:rFonts w:ascii="Arial" w:cs="Arial" w:eastAsia="Arial" w:hAnsi="Arial"/>
          <w:color w:val="1A1A1A"/>
          <w:sz w:val="22"/>
          <w:szCs w:val="22"/>
        </w:rPr>
        <w:t>1 year or more: 4 weeks (or TEMPLATE FIELD: longer agreed notice period if any as agreed, if longer).</w:t>
      </w:r>
    </w:p>
    <w:p>
      <w:pPr>
        <w:spacing w:after="80" w:before="80"/>
      </w:pPr>
      <w:r>
        <w:rPr>
          <w:rFonts w:ascii="Arial" w:cs="Arial" w:eastAsia="Arial" w:hAnsi="Arial"/>
          <w:color w:val="1A1A1A"/>
          <w:sz w:val="22"/>
          <w:szCs w:val="22"/>
        </w:rPr>
        <w:t xml:space="preserve">ANIMEX may terminate summarily (without notice or payment in lieu) only for conduct constituting a dismissible offence following a fair dismissal process under the LRA. Payment in lieu of notice may be made at ANIMEX's election.</w:t>
      </w:r>
    </w:p>
    <w:p>
      <w:pPr>
        <w:spacing w:after="80" w:before="80"/>
      </w:pPr>
      <w:r>
        <w:rPr>
          <w:rFonts w:ascii="Arial" w:cs="Arial" w:eastAsia="Arial" w:hAnsi="Arial"/>
          <w:color w:val="1A1A1A"/>
          <w:sz w:val="22"/>
          <w:szCs w:val="22"/>
        </w:rPr>
        <w:t xml:space="preserve">On termination, the Employee must: return all ANIMEX property, devices, access credentials, and documents; irreversibly delete or hand over all ANIMEX data in their possession; and complete a formal exit process.</w:t>
      </w:r>
    </w:p>
    <w:p>
      <w:pPr>
        <w:pStyle w:val="Heading2"/>
        <w:spacing w:after="120" w:before="280"/>
      </w:pPr>
      <w:r>
        <w:rPr>
          <w:rFonts w:ascii="Arial" w:cs="Arial" w:eastAsia="Arial" w:hAnsi="Arial"/>
          <w:b/>
          <w:bCs/>
          <w:color w:val="1A1A1A"/>
          <w:sz w:val="26"/>
          <w:szCs w:val="26"/>
        </w:rPr>
        <w:t xml:space="preserve">1.12  Disciplinary and Grievance Procedures</w:t>
      </w:r>
    </w:p>
    <w:p>
      <w:pPr>
        <w:spacing w:after="80" w:before="80"/>
      </w:pPr>
      <w:r>
        <w:rPr>
          <w:rFonts w:ascii="Arial" w:cs="Arial" w:eastAsia="Arial" w:hAnsi="Arial"/>
          <w:color w:val="1A1A1A"/>
          <w:sz w:val="22"/>
          <w:szCs w:val="22"/>
        </w:rPr>
        <w:t xml:space="preserve">Discipline is governed by ANIMEX's Disciplinary Policy (this pack, Section 6) and the LRA. The Employee may raise any workplace grievance in accordance with ANIMEX's Grievance Procedure (this pack, Section 7). The Employee is entitled to union representation or a colleague/co-worker to act as representative at any disciplinary hearing.</w:t>
      </w:r>
    </w:p>
    <w:p>
      <w:pPr>
        <w:pStyle w:val="Heading2"/>
        <w:spacing w:after="120" w:before="280"/>
      </w:pPr>
      <w:r>
        <w:rPr>
          <w:rFonts w:ascii="Arial" w:cs="Arial" w:eastAsia="Arial" w:hAnsi="Arial"/>
          <w:b/>
          <w:bCs/>
          <w:color w:val="1A1A1A"/>
          <w:sz w:val="26"/>
          <w:szCs w:val="26"/>
        </w:rPr>
        <w:t xml:space="preserve">1.13  Governing Law</w:t>
      </w:r>
    </w:p>
    <w:p>
      <w:pPr>
        <w:spacing w:after="80" w:before="80"/>
      </w:pPr>
      <w:r>
        <w:rPr>
          <w:rFonts w:ascii="Arial" w:cs="Arial" w:eastAsia="Arial" w:hAnsi="Arial"/>
          <w:color w:val="1A1A1A"/>
          <w:sz w:val="22"/>
          <w:szCs w:val="22"/>
        </w:rPr>
        <w:t xml:space="preserve">This Agreement is governed by South African law. Disputes not resolved through ANIMEX's internal processes may be referred to the Commission for Conciliation, Mediation and Arbitration (CCMA) or the applicable Bargaining Council.</w:t>
      </w:r>
    </w:p>
    <w:p>
      <w:pPr>
        <w:pStyle w:val="Heading2"/>
        <w:spacing w:after="120" w:before="280"/>
      </w:pPr>
      <w:r>
        <w:rPr>
          <w:rFonts w:ascii="Arial" w:cs="Arial" w:eastAsia="Arial" w:hAnsi="Arial"/>
          <w:b/>
          <w:bCs/>
          <w:color w:val="1A1A1A"/>
          <w:sz w:val="26"/>
          <w:szCs w:val="26"/>
        </w:rPr>
        <w:t xml:space="preserve">1.14  Schedules</w:t>
      </w:r>
    </w:p>
    <w:p>
      <w:pPr>
        <w:spacing w:after="80" w:before="80"/>
      </w:pPr>
      <w:r>
        <w:rPr>
          <w:rFonts w:ascii="Arial" w:cs="Arial" w:eastAsia="Arial" w:hAnsi="Arial"/>
          <w:color w:val="1A1A1A"/>
          <w:sz w:val="22"/>
          <w:szCs w:val="22"/>
        </w:rPr>
        <w:t xml:space="preserve">Schedule A:  Job Description</w:t>
      </w:r>
    </w:p>
    <w:p>
      <w:pPr>
        <w:spacing w:after="80" w:before="80"/>
      </w:pPr>
      <w:r>
        <w:rPr>
          <w:rFonts w:ascii="Arial" w:cs="Arial" w:eastAsia="Arial" w:hAnsi="Arial"/>
          <w:color w:val="1A1A1A"/>
          <w:sz w:val="22"/>
          <w:szCs w:val="22"/>
        </w:rPr>
        <w:t xml:space="preserve">Schedule B:  IP Assignment and Inventions Disclosure</w:t>
      </w:r>
    </w:p>
    <w:p>
      <w:pPr>
        <w:spacing w:after="80" w:before="80"/>
      </w:pPr>
      <w:r>
        <w:rPr>
          <w:rFonts w:ascii="Arial" w:cs="Arial" w:eastAsia="Arial" w:hAnsi="Arial"/>
          <w:color w:val="1A1A1A"/>
          <w:sz w:val="22"/>
          <w:szCs w:val="22"/>
        </w:rPr>
        <w:t xml:space="preserve">Schedule C:  Remuneration and Benefits Summary</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Employee:</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Independent Contractor Agreement Template</w:t>
      </w:r>
    </w:p>
    <w:p>
      <w:pPr>
        <w:spacing w:after="80" w:before="80"/>
      </w:pPr>
      <w:r>
        <w:rPr>
          <w:rFonts w:ascii="Arial" w:cs="Arial" w:eastAsia="Arial" w:hAnsi="Arial"/>
          <w:color w:val="1A1A1A"/>
          <w:sz w:val="22"/>
          <w:szCs w:val="22"/>
        </w:rPr>
        <w:t>This Independent Contractor Agreement ("Agreement") is entered into between ANIMEX (Pty) Ltd ("ANIMEX") and TEMPLATE FIELD: contractor full legal name or registered company name, TEMPLATE FIELD: contractor ID number or registration number ("Contractor").</w:t>
      </w:r>
    </w:p>
    <w:p>
      <w:pPr>
        <w:shd w:fill="FFF2CC" w:val="clear"/>
        <w:spacing w:after="80" w:before="80"/>
        <w:ind w:left="360" w:right="360"/>
      </w:pPr>
      <w:r>
        <w:rPr>
          <w:rFonts w:ascii="Arial" w:cs="Arial" w:eastAsia="Arial" w:hAnsi="Arial"/>
          <w:b/>
          <w:bCs/>
          <w:color w:val="7F6000"/>
          <w:sz w:val="20"/>
          <w:szCs w:val="20"/>
        </w:rPr>
        <w:t xml:space="preserve">ACTION REQUIRED: ANIMEX must ensure that all contractor arrangements genuinely constitute independent contractor relationships and do not constitute disguised employment. Misclassification of employees as contractors exposes ANIMEX to significant SARS, UIF, CCMA, and LRA liability. Have a labour attorney assess each arrangement.</w:t>
      </w:r>
    </w:p>
    <w:p>
      <w:pPr>
        <w:pStyle w:val="Heading2"/>
        <w:spacing w:after="120" w:before="280"/>
      </w:pPr>
      <w:r>
        <w:rPr>
          <w:rFonts w:ascii="Arial" w:cs="Arial" w:eastAsia="Arial" w:hAnsi="Arial"/>
          <w:b/>
          <w:bCs/>
          <w:color w:val="1A1A1A"/>
          <w:sz w:val="26"/>
          <w:szCs w:val="26"/>
        </w:rPr>
        <w:t xml:space="preserve">2.1  Nature of Relationship</w:t>
      </w:r>
    </w:p>
    <w:p>
      <w:pPr>
        <w:spacing w:after="80" w:before="80"/>
      </w:pPr>
      <w:r>
        <w:rPr>
          <w:rFonts w:ascii="Arial" w:cs="Arial" w:eastAsia="Arial" w:hAnsi="Arial"/>
          <w:color w:val="1A1A1A"/>
          <w:sz w:val="22"/>
          <w:szCs w:val="22"/>
        </w:rPr>
        <w:t xml:space="preserve">The Contractor is an independent contractor and not an employee, agent, partner, or joint venturer of ANIMEX. The Contractor is not entitled to employee benefits, UIF, leave pay, pension fund, medical aid, or any other employment benefit. The Contractor is responsible for their own income tax, VAT registration (where applicable), and insurance. ANIMEX will not deduct PAYE from Contractor fees.</w:t>
      </w:r>
    </w:p>
    <w:p>
      <w:pPr>
        <w:spacing w:after="80" w:before="80"/>
      </w:pPr>
      <w:r>
        <w:rPr>
          <w:rFonts w:ascii="Arial" w:cs="Arial" w:eastAsia="Arial" w:hAnsi="Arial"/>
          <w:color w:val="1A1A1A"/>
          <w:sz w:val="22"/>
          <w:szCs w:val="22"/>
        </w:rPr>
        <w:t xml:space="preserve">The Contractor controls the manner and method of their work, subject only to ANIMEX's reasonable requirements regarding outputs, deadlines, and quality. The Contractor is free to provide similar services to other clients, subject to the confidentiality and non-solicitation obligations below.</w:t>
      </w:r>
    </w:p>
    <w:p>
      <w:pPr>
        <w:pStyle w:val="Heading2"/>
        <w:spacing w:after="120" w:before="280"/>
      </w:pPr>
      <w:r>
        <w:rPr>
          <w:rFonts w:ascii="Arial" w:cs="Arial" w:eastAsia="Arial" w:hAnsi="Arial"/>
          <w:b/>
          <w:bCs/>
          <w:color w:val="1A1A1A"/>
          <w:sz w:val="26"/>
          <w:szCs w:val="26"/>
        </w:rPr>
        <w:t xml:space="preserve">2.2  Services</w:t>
      </w:r>
    </w:p>
    <w:p>
      <w:pPr>
        <w:spacing w:after="80" w:before="80"/>
      </w:pPr>
      <w:r>
        <w:rPr>
          <w:rFonts w:ascii="Arial" w:cs="Arial" w:eastAsia="Arial" w:hAnsi="Arial"/>
          <w:color w:val="1A1A1A"/>
          <w:sz w:val="22"/>
          <w:szCs w:val="22"/>
        </w:rPr>
        <w:t>The Contractor will provide the following services to ANIMEX ("Services"): TEMPLATE FIELD: detailed description of services in Statement of Work. Services are described in detail in Schedule A (Statement of Work), which forms part of this Agreement.</w:t>
      </w:r>
    </w:p>
    <w:p>
      <w:pPr>
        <w:pStyle w:val="Heading2"/>
        <w:spacing w:after="120" w:before="280"/>
      </w:pPr>
      <w:r>
        <w:rPr>
          <w:rFonts w:ascii="Arial" w:cs="Arial" w:eastAsia="Arial" w:hAnsi="Arial"/>
          <w:b/>
          <w:bCs/>
          <w:color w:val="1A1A1A"/>
          <w:sz w:val="26"/>
          <w:szCs w:val="26"/>
        </w:rPr>
        <w:t xml:space="preserve">2.3  Fees and Payment</w:t>
      </w:r>
    </w:p>
    <w:p>
      <w:pPr>
        <w:spacing w:after="80" w:before="80"/>
      </w:pPr>
      <w:r>
        <w:rPr>
          <w:rFonts w:ascii="Arial" w:cs="Arial" w:eastAsia="Arial" w:hAnsi="Arial"/>
          <w:color w:val="1A1A1A"/>
          <w:sz w:val="22"/>
          <w:szCs w:val="22"/>
        </w:rPr>
        <w:t>ANIMEX will pay the Contractor: TEMPLATE FIELD: contractor rate or project fee in Statement of Work, payable TEMPLATE FIELD: agreed payment timing.</w:t>
      </w:r>
    </w:p>
    <w:p>
      <w:pPr>
        <w:spacing w:after="80" w:before="80"/>
      </w:pPr>
      <w:r>
        <w:rPr>
          <w:rFonts w:ascii="Arial" w:cs="Arial" w:eastAsia="Arial" w:hAnsi="Arial"/>
          <w:color w:val="1A1A1A"/>
          <w:sz w:val="22"/>
          <w:szCs w:val="22"/>
        </w:rPr>
        <w:t>The Contractor must submit a valid invoice to info@animexofficial.co.za by the TEMPLATE FIELD: date of each month. ANIMEX will pay within 30 calendar days of receipt of a valid invoice. Where the Contractor is registered as a VAT vendor, invoices must reflect VAT at the applicable rate.</w:t>
      </w:r>
    </w:p>
    <w:p>
      <w:pPr>
        <w:spacing w:after="80" w:before="80"/>
      </w:pPr>
      <w:r>
        <w:rPr>
          <w:rFonts w:ascii="Arial" w:cs="Arial" w:eastAsia="Arial" w:hAnsi="Arial"/>
          <w:color w:val="1A1A1A"/>
          <w:sz w:val="22"/>
          <w:szCs w:val="22"/>
        </w:rPr>
        <w:t xml:space="preserve">ANIMEX may withhold payment for deliverables that do not meet agreed standards until remedied or until ANIMEX and the Contractor agree a reduction.</w:t>
      </w:r>
    </w:p>
    <w:p>
      <w:pPr>
        <w:pStyle w:val="Heading2"/>
        <w:spacing w:after="120" w:before="280"/>
      </w:pPr>
      <w:r>
        <w:rPr>
          <w:rFonts w:ascii="Arial" w:cs="Arial" w:eastAsia="Arial" w:hAnsi="Arial"/>
          <w:b/>
          <w:bCs/>
          <w:color w:val="1A1A1A"/>
          <w:sz w:val="26"/>
          <w:szCs w:val="26"/>
        </w:rPr>
        <w:t xml:space="preserve">2.4  Intellectual Property</w:t>
      </w:r>
    </w:p>
    <w:p>
      <w:pPr>
        <w:spacing w:after="80" w:before="80"/>
      </w:pPr>
      <w:r>
        <w:rPr>
          <w:rFonts w:ascii="Arial" w:cs="Arial" w:eastAsia="Arial" w:hAnsi="Arial"/>
          <w:color w:val="1A1A1A"/>
          <w:sz w:val="22"/>
          <w:szCs w:val="22"/>
        </w:rPr>
        <w:t xml:space="preserve">All work product, deliverables, code, designs, content, and materials created by the Contractor in connection with the Services are created as works made for hire for ANIMEX and vest in ANIMEX from creation, to the maximum extent permitted by law. To the extent any right does not automatically vest in ANIMEX, the Contractor hereby assigns all such rights to ANIMEX unconditionally and irrevocably, including all copyright under the Copyright Act 98 of 1978.</w:t>
      </w:r>
    </w:p>
    <w:p>
      <w:pPr>
        <w:spacing w:after="80" w:before="80"/>
      </w:pPr>
      <w:r>
        <w:rPr>
          <w:rFonts w:ascii="Arial" w:cs="Arial" w:eastAsia="Arial" w:hAnsi="Arial"/>
          <w:color w:val="1A1A1A"/>
          <w:sz w:val="22"/>
          <w:szCs w:val="22"/>
        </w:rPr>
        <w:t xml:space="preserve">The Contractor retains no licence, right, or claim in any deliverable except for pre-existing tools or code libraries ("Pre-existing IP") identified in Schedule B. ANIMEX receives a perpetual, royalty-free, non-exclusive licence to use all Pre-existing IP incorporated in the deliverables.</w:t>
      </w:r>
    </w:p>
    <w:p>
      <w:pPr>
        <w:pStyle w:val="Heading2"/>
        <w:spacing w:after="120" w:before="280"/>
      </w:pPr>
      <w:r>
        <w:rPr>
          <w:rFonts w:ascii="Arial" w:cs="Arial" w:eastAsia="Arial" w:hAnsi="Arial"/>
          <w:b/>
          <w:bCs/>
          <w:color w:val="1A1A1A"/>
          <w:sz w:val="26"/>
          <w:szCs w:val="26"/>
        </w:rPr>
        <w:t xml:space="preserve">2.5  Confidentiality</w:t>
      </w:r>
    </w:p>
    <w:p>
      <w:pPr>
        <w:spacing w:after="80" w:before="80"/>
      </w:pPr>
      <w:r>
        <w:rPr>
          <w:rFonts w:ascii="Arial" w:cs="Arial" w:eastAsia="Arial" w:hAnsi="Arial"/>
          <w:color w:val="1A1A1A"/>
          <w:sz w:val="22"/>
          <w:szCs w:val="22"/>
        </w:rPr>
        <w:t xml:space="preserve">The Contractor must maintain strict confidentiality of all ANIMEX confidential information, User personal information, business plans, platform architecture, financial data, and operational information. Confidentiality obligations survive termination of this Agreement for 5 (five) years and indefinitely for trade secrets, personal information, and security information.</w:t>
      </w:r>
    </w:p>
    <w:p>
      <w:pPr>
        <w:pStyle w:val="Heading2"/>
        <w:spacing w:after="120" w:before="280"/>
      </w:pPr>
      <w:r>
        <w:rPr>
          <w:rFonts w:ascii="Arial" w:cs="Arial" w:eastAsia="Arial" w:hAnsi="Arial"/>
          <w:b/>
          <w:bCs/>
          <w:color w:val="1A1A1A"/>
          <w:sz w:val="26"/>
          <w:szCs w:val="26"/>
        </w:rPr>
        <w:t xml:space="preserve">2.6  Data Protection</w:t>
      </w:r>
    </w:p>
    <w:p>
      <w:pPr>
        <w:spacing w:after="80" w:before="80"/>
      </w:pPr>
      <w:r>
        <w:rPr>
          <w:rFonts w:ascii="Arial" w:cs="Arial" w:eastAsia="Arial" w:hAnsi="Arial"/>
          <w:color w:val="1A1A1A"/>
          <w:sz w:val="22"/>
          <w:szCs w:val="22"/>
        </w:rPr>
        <w:t xml:space="preserve">Where the Contractor processes ANIMEX User personal information in connection with the Services, the Contractor does so as an operator under section 21 of POPIA and must: process personal information only on ANIMEX's documented instructions; implement appropriate security measures; not engage sub-processors without ANIMEX's prior written consent; report any suspected data breach within 24 hours; and return or securely destroy all personal information on termination.</w:t>
      </w:r>
    </w:p>
    <w:p>
      <w:pPr>
        <w:pStyle w:val="Heading2"/>
        <w:spacing w:after="120" w:before="280"/>
      </w:pPr>
      <w:r>
        <w:rPr>
          <w:rFonts w:ascii="Arial" w:cs="Arial" w:eastAsia="Arial" w:hAnsi="Arial"/>
          <w:b/>
          <w:bCs/>
          <w:color w:val="1A1A1A"/>
          <w:sz w:val="26"/>
          <w:szCs w:val="26"/>
        </w:rPr>
        <w:t xml:space="preserve">2.7  Non-Solicitation</w:t>
      </w:r>
    </w:p>
    <w:p>
      <w:pPr>
        <w:spacing w:after="80" w:before="80"/>
      </w:pPr>
      <w:r>
        <w:rPr>
          <w:rFonts w:ascii="Arial" w:cs="Arial" w:eastAsia="Arial" w:hAnsi="Arial"/>
          <w:color w:val="1A1A1A"/>
          <w:sz w:val="22"/>
          <w:szCs w:val="22"/>
        </w:rPr>
        <w:t xml:space="preserve">During the term and for 12 (twelve) months following termination, the Contractor must not solicit or entice away ANIMEX Users, Welfare Partners, Verified Breeders, Vet Partners, employees, or vendors with whom the Contractor interacted through the ANIMEX engagement.</w:t>
      </w:r>
    </w:p>
    <w:p>
      <w:pPr>
        <w:pStyle w:val="Heading2"/>
        <w:spacing w:after="120" w:before="280"/>
      </w:pPr>
      <w:r>
        <w:rPr>
          <w:rFonts w:ascii="Arial" w:cs="Arial" w:eastAsia="Arial" w:hAnsi="Arial"/>
          <w:b/>
          <w:bCs/>
          <w:color w:val="1A1A1A"/>
          <w:sz w:val="26"/>
          <w:szCs w:val="26"/>
        </w:rPr>
        <w:t xml:space="preserve">2.8  Warranties</w:t>
      </w:r>
    </w:p>
    <w:p>
      <w:pPr>
        <w:spacing w:after="80" w:before="80"/>
      </w:pPr>
      <w:r>
        <w:rPr>
          <w:rFonts w:ascii="Arial" w:cs="Arial" w:eastAsia="Arial" w:hAnsi="Arial"/>
          <w:color w:val="1A1A1A"/>
          <w:sz w:val="22"/>
          <w:szCs w:val="22"/>
        </w:rPr>
        <w:t xml:space="preserve">The Contractor warrants that:</w:t>
      </w:r>
    </w:p>
    <w:p>
      <w:pPr>
        <w:pStyle w:val="ListParagraph"/>
        <w:numPr>
          <w:ilvl w:val="0"/>
          <w:numId w:val="2"/>
        </w:numPr>
        <w:spacing w:after="40" w:before="40"/>
      </w:pPr>
      <w:r>
        <w:rPr>
          <w:rFonts w:ascii="Arial" w:cs="Arial" w:eastAsia="Arial" w:hAnsi="Arial"/>
          <w:color w:val="1A1A1A"/>
          <w:sz w:val="22"/>
          <w:szCs w:val="22"/>
        </w:rPr>
        <w:t xml:space="preserve">the Services will be performed with reasonable skill, care, and diligence;</w:t>
      </w:r>
    </w:p>
    <w:p>
      <w:pPr>
        <w:pStyle w:val="ListParagraph"/>
        <w:numPr>
          <w:ilvl w:val="0"/>
          <w:numId w:val="2"/>
        </w:numPr>
        <w:spacing w:after="40" w:before="40"/>
      </w:pPr>
      <w:r>
        <w:rPr>
          <w:rFonts w:ascii="Arial" w:cs="Arial" w:eastAsia="Arial" w:hAnsi="Arial"/>
          <w:color w:val="1A1A1A"/>
          <w:sz w:val="22"/>
          <w:szCs w:val="22"/>
        </w:rPr>
        <w:t xml:space="preserve">all deliverables will be original and will not infringe any third-party intellectual property rights;</w:t>
      </w:r>
    </w:p>
    <w:p>
      <w:pPr>
        <w:pStyle w:val="ListParagraph"/>
        <w:numPr>
          <w:ilvl w:val="0"/>
          <w:numId w:val="2"/>
        </w:numPr>
        <w:spacing w:after="40" w:before="40"/>
      </w:pPr>
      <w:r>
        <w:rPr>
          <w:rFonts w:ascii="Arial" w:cs="Arial" w:eastAsia="Arial" w:hAnsi="Arial"/>
          <w:color w:val="1A1A1A"/>
          <w:sz w:val="22"/>
          <w:szCs w:val="22"/>
        </w:rPr>
        <w:t xml:space="preserve">the Contractor has the legal right and capacity to enter into this Agreement;</w:t>
      </w:r>
    </w:p>
    <w:p>
      <w:pPr>
        <w:pStyle w:val="ListParagraph"/>
        <w:numPr>
          <w:ilvl w:val="0"/>
          <w:numId w:val="2"/>
        </w:numPr>
        <w:spacing w:after="40" w:before="40"/>
      </w:pPr>
      <w:r>
        <w:rPr>
          <w:rFonts w:ascii="Arial" w:cs="Arial" w:eastAsia="Arial" w:hAnsi="Arial"/>
          <w:color w:val="1A1A1A"/>
          <w:sz w:val="22"/>
          <w:szCs w:val="22"/>
        </w:rPr>
        <w:t xml:space="preserve">no conflict of interest exists that would compromise the Contractor's ability to provide the Services.</w:t>
      </w:r>
    </w:p>
    <w:p>
      <w:pPr>
        <w:pStyle w:val="Heading2"/>
        <w:spacing w:after="120" w:before="280"/>
      </w:pPr>
      <w:r>
        <w:rPr>
          <w:rFonts w:ascii="Arial" w:cs="Arial" w:eastAsia="Arial" w:hAnsi="Arial"/>
          <w:b/>
          <w:bCs/>
          <w:color w:val="1A1A1A"/>
          <w:sz w:val="26"/>
          <w:szCs w:val="26"/>
        </w:rPr>
        <w:t xml:space="preserve">2.9  Indemnity</w:t>
      </w:r>
    </w:p>
    <w:p>
      <w:pPr>
        <w:spacing w:after="80" w:before="80"/>
      </w:pPr>
      <w:r>
        <w:rPr>
          <w:rFonts w:ascii="Arial" w:cs="Arial" w:eastAsia="Arial" w:hAnsi="Arial"/>
          <w:color w:val="1A1A1A"/>
          <w:sz w:val="22"/>
          <w:szCs w:val="22"/>
        </w:rPr>
        <w:t xml:space="preserve">The Contractor indemnifies ANIMEX against claims, losses, and costs arising from the Contractor's breach of this Agreement, infringement of third-party rights, or negligent performance of the Services.</w:t>
      </w:r>
    </w:p>
    <w:p>
      <w:pPr>
        <w:pStyle w:val="Heading2"/>
        <w:spacing w:after="120" w:before="280"/>
      </w:pPr>
      <w:r>
        <w:rPr>
          <w:rFonts w:ascii="Arial" w:cs="Arial" w:eastAsia="Arial" w:hAnsi="Arial"/>
          <w:b/>
          <w:bCs/>
          <w:color w:val="1A1A1A"/>
          <w:sz w:val="26"/>
          <w:szCs w:val="26"/>
        </w:rPr>
        <w:t xml:space="preserve">2.10  Term and Termination</w:t>
      </w:r>
    </w:p>
    <w:p>
      <w:pPr>
        <w:spacing w:after="80" w:before="80"/>
      </w:pPr>
      <w:r>
        <w:rPr>
          <w:rFonts w:ascii="Arial" w:cs="Arial" w:eastAsia="Arial" w:hAnsi="Arial"/>
          <w:color w:val="1A1A1A"/>
          <w:sz w:val="22"/>
          <w:szCs w:val="22"/>
        </w:rPr>
        <w:t>This Agreement commences on TEMPLATE FIELD: commencement date and continues until the end date, project completion date, or termination notice period stated in the signed Statement of Work.</w:t>
      </w:r>
    </w:p>
    <w:p>
      <w:pPr>
        <w:spacing w:after="80" w:before="80"/>
      </w:pPr>
      <w:r>
        <w:rPr>
          <w:rFonts w:ascii="Arial" w:cs="Arial" w:eastAsia="Arial" w:hAnsi="Arial"/>
          <w:color w:val="1A1A1A"/>
          <w:sz w:val="22"/>
          <w:szCs w:val="22"/>
        </w:rPr>
        <w:t xml:space="preserve">ANIMEX may terminate immediately for: material breach; insolvency; fraud; or IP theft. On termination, the Contractor must deliver all work product to ANIMEX and return all ANIMEX property and data.</w:t>
      </w:r>
    </w:p>
    <w:p>
      <w:pPr>
        <w:pStyle w:val="Heading2"/>
        <w:spacing w:after="120" w:before="280"/>
      </w:pPr>
      <w:r>
        <w:rPr>
          <w:rFonts w:ascii="Arial" w:cs="Arial" w:eastAsia="Arial" w:hAnsi="Arial"/>
          <w:b/>
          <w:bCs/>
          <w:color w:val="1A1A1A"/>
          <w:sz w:val="26"/>
          <w:szCs w:val="26"/>
        </w:rPr>
        <w:t xml:space="preserve">2.11  Governing Law</w:t>
      </w:r>
    </w:p>
    <w:p>
      <w:pPr>
        <w:spacing w:after="80" w:before="80"/>
      </w:pPr>
      <w:r>
        <w:rPr>
          <w:rFonts w:ascii="Arial" w:cs="Arial" w:eastAsia="Arial" w:hAnsi="Arial"/>
          <w:color w:val="1A1A1A"/>
          <w:sz w:val="22"/>
          <w:szCs w:val="22"/>
        </w:rPr>
        <w:t xml:space="preserve">Governed by South African law and subject to the jurisdiction of the South Gauteng High Court (Johannesburg).</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Contractor:</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Staff Confidentiality and Intellectual Property Agreement</w:t>
      </w:r>
    </w:p>
    <w:p>
      <w:pPr>
        <w:spacing w:after="80" w:before="80"/>
      </w:pPr>
      <w:r>
        <w:rPr>
          <w:rFonts w:ascii="Arial" w:cs="Arial" w:eastAsia="Arial" w:hAnsi="Arial"/>
          <w:color w:val="1A1A1A"/>
          <w:sz w:val="22"/>
          <w:szCs w:val="22"/>
        </w:rPr>
        <w:t>This Agreement is entered into between ANIMEX (Pty) Ltd ("ANIMEX") and TEMPLATE FIELD: staff member full legal name ("Staff Member") and forms part of the Staff Member's employment or engagement terms.</w:t>
      </w:r>
    </w:p>
    <w:p>
      <w:pPr>
        <w:pStyle w:val="Heading2"/>
        <w:spacing w:after="120" w:before="280"/>
      </w:pPr>
      <w:r>
        <w:rPr>
          <w:rFonts w:ascii="Arial" w:cs="Arial" w:eastAsia="Arial" w:hAnsi="Arial"/>
          <w:b/>
          <w:bCs/>
          <w:color w:val="1A1A1A"/>
          <w:sz w:val="26"/>
          <w:szCs w:val="26"/>
        </w:rPr>
        <w:t xml:space="preserve">3.1  Confidential Information</w:t>
      </w:r>
    </w:p>
    <w:p>
      <w:pPr>
        <w:spacing w:after="80" w:before="80"/>
      </w:pPr>
      <w:r>
        <w:rPr>
          <w:rFonts w:ascii="Arial" w:cs="Arial" w:eastAsia="Arial" w:hAnsi="Arial"/>
          <w:color w:val="1A1A1A"/>
          <w:sz w:val="22"/>
          <w:szCs w:val="22"/>
        </w:rPr>
        <w:t xml:space="preserve">"Confidential Information" includes all non-public information relating to ANIMEX, including: Platform architecture, source code, algorithms, and technical documentation; User personal information and transaction data; financial data, revenue, pricing, and projections; business strategies, product roadmaps, and partnership terms; compliance procedures and legal advice; security information and access credentials; and any other information designated as confidential or that a reasonable person would treat as confidential.</w:t>
      </w:r>
    </w:p>
    <w:p>
      <w:pPr>
        <w:pStyle w:val="Heading2"/>
        <w:spacing w:after="120" w:before="280"/>
      </w:pPr>
      <w:r>
        <w:rPr>
          <w:rFonts w:ascii="Arial" w:cs="Arial" w:eastAsia="Arial" w:hAnsi="Arial"/>
          <w:b/>
          <w:bCs/>
          <w:color w:val="1A1A1A"/>
          <w:sz w:val="26"/>
          <w:szCs w:val="26"/>
        </w:rPr>
        <w:t xml:space="preserve">3.2  Confidentiality Obligations</w:t>
      </w:r>
    </w:p>
    <w:p>
      <w:pPr>
        <w:spacing w:after="80" w:before="80"/>
      </w:pPr>
      <w:r>
        <w:rPr>
          <w:rFonts w:ascii="Arial" w:cs="Arial" w:eastAsia="Arial" w:hAnsi="Arial"/>
          <w:color w:val="1A1A1A"/>
          <w:sz w:val="22"/>
          <w:szCs w:val="22"/>
        </w:rPr>
        <w:t xml:space="preserve">The Staff Member must:</w:t>
      </w:r>
    </w:p>
    <w:p>
      <w:pPr>
        <w:pStyle w:val="ListParagraph"/>
        <w:numPr>
          <w:ilvl w:val="0"/>
          <w:numId w:val="2"/>
        </w:numPr>
        <w:spacing w:after="40" w:before="40"/>
      </w:pPr>
      <w:r>
        <w:rPr>
          <w:rFonts w:ascii="Arial" w:cs="Arial" w:eastAsia="Arial" w:hAnsi="Arial"/>
          <w:color w:val="1A1A1A"/>
          <w:sz w:val="22"/>
          <w:szCs w:val="22"/>
        </w:rPr>
        <w:t xml:space="preserve">keep all Confidential Information strictly confidential during and after their employment or engagement;</w:t>
      </w:r>
    </w:p>
    <w:p>
      <w:pPr>
        <w:pStyle w:val="ListParagraph"/>
        <w:numPr>
          <w:ilvl w:val="0"/>
          <w:numId w:val="2"/>
        </w:numPr>
        <w:spacing w:after="40" w:before="40"/>
      </w:pPr>
      <w:r>
        <w:rPr>
          <w:rFonts w:ascii="Arial" w:cs="Arial" w:eastAsia="Arial" w:hAnsi="Arial"/>
          <w:color w:val="1A1A1A"/>
          <w:sz w:val="22"/>
          <w:szCs w:val="22"/>
        </w:rPr>
        <w:t xml:space="preserve">use Confidential Information only for ANIMEX's legitimate business purposes;</w:t>
      </w:r>
    </w:p>
    <w:p>
      <w:pPr>
        <w:pStyle w:val="ListParagraph"/>
        <w:numPr>
          <w:ilvl w:val="0"/>
          <w:numId w:val="2"/>
        </w:numPr>
        <w:spacing w:after="40" w:before="40"/>
      </w:pPr>
      <w:r>
        <w:rPr>
          <w:rFonts w:ascii="Arial" w:cs="Arial" w:eastAsia="Arial" w:hAnsi="Arial"/>
          <w:color w:val="1A1A1A"/>
          <w:sz w:val="22"/>
          <w:szCs w:val="22"/>
        </w:rPr>
        <w:t xml:space="preserve">not disclose Confidential Information to any person outside ANIMEX without written authorisation;</w:t>
      </w:r>
    </w:p>
    <w:p>
      <w:pPr>
        <w:pStyle w:val="ListParagraph"/>
        <w:numPr>
          <w:ilvl w:val="0"/>
          <w:numId w:val="2"/>
        </w:numPr>
        <w:spacing w:after="40" w:before="40"/>
      </w:pPr>
      <w:r>
        <w:rPr>
          <w:rFonts w:ascii="Arial" w:cs="Arial" w:eastAsia="Arial" w:hAnsi="Arial"/>
          <w:color w:val="1A1A1A"/>
          <w:sz w:val="22"/>
          <w:szCs w:val="22"/>
        </w:rPr>
        <w:t xml:space="preserve">not copy, download, forward, or store Confidential Information on personal devices or external storage without authorisation;</w:t>
      </w:r>
    </w:p>
    <w:p>
      <w:pPr>
        <w:pStyle w:val="ListParagraph"/>
        <w:numPr>
          <w:ilvl w:val="0"/>
          <w:numId w:val="2"/>
        </w:numPr>
        <w:spacing w:after="40" w:before="40"/>
      </w:pPr>
      <w:r>
        <w:rPr>
          <w:rFonts w:ascii="Arial" w:cs="Arial" w:eastAsia="Arial" w:hAnsi="Arial"/>
          <w:color w:val="1A1A1A"/>
          <w:sz w:val="22"/>
          <w:szCs w:val="22"/>
        </w:rPr>
        <w:t xml:space="preserve">report any known or suspected unauthorised disclosure to the Information Officer immediately.</w:t>
      </w:r>
    </w:p>
    <w:p>
      <w:pPr>
        <w:spacing w:after="80" w:before="80"/>
      </w:pPr>
      <w:r>
        <w:rPr>
          <w:rFonts w:ascii="Arial" w:cs="Arial" w:eastAsia="Arial" w:hAnsi="Arial"/>
          <w:color w:val="1A1A1A"/>
          <w:sz w:val="22"/>
          <w:szCs w:val="22"/>
        </w:rPr>
        <w:t xml:space="preserve">Confidentiality obligations continue indefinitely after the end of employment or engagement in respect of trade secrets, User personal information, and security information, and for 5 (five) years for other Confidential Information.</w:t>
      </w:r>
    </w:p>
    <w:p>
      <w:pPr>
        <w:pStyle w:val="Heading2"/>
        <w:spacing w:after="120" w:before="280"/>
      </w:pPr>
      <w:r>
        <w:rPr>
          <w:rFonts w:ascii="Arial" w:cs="Arial" w:eastAsia="Arial" w:hAnsi="Arial"/>
          <w:b/>
          <w:bCs/>
          <w:color w:val="1A1A1A"/>
          <w:sz w:val="26"/>
          <w:szCs w:val="26"/>
        </w:rPr>
        <w:t xml:space="preserve">3.3  POPIA Obligations</w:t>
      </w:r>
    </w:p>
    <w:p>
      <w:pPr>
        <w:spacing w:after="80" w:before="80"/>
      </w:pPr>
      <w:r>
        <w:rPr>
          <w:rFonts w:ascii="Arial" w:cs="Arial" w:eastAsia="Arial" w:hAnsi="Arial"/>
          <w:color w:val="1A1A1A"/>
          <w:sz w:val="22"/>
          <w:szCs w:val="22"/>
        </w:rPr>
        <w:t xml:space="preserve">The Staff Member acknowledges that ANIMEX processes User personal information subject to POPIA. The Staff Member must:</w:t>
      </w:r>
    </w:p>
    <w:p>
      <w:pPr>
        <w:pStyle w:val="ListParagraph"/>
        <w:numPr>
          <w:ilvl w:val="0"/>
          <w:numId w:val="2"/>
        </w:numPr>
        <w:spacing w:after="40" w:before="40"/>
      </w:pPr>
      <w:r>
        <w:rPr>
          <w:rFonts w:ascii="Arial" w:cs="Arial" w:eastAsia="Arial" w:hAnsi="Arial"/>
          <w:color w:val="1A1A1A"/>
          <w:sz w:val="22"/>
          <w:szCs w:val="22"/>
        </w:rPr>
        <w:t xml:space="preserve">process personal information only for authorised ANIMEX business purposes;</w:t>
      </w:r>
    </w:p>
    <w:p>
      <w:pPr>
        <w:pStyle w:val="ListParagraph"/>
        <w:numPr>
          <w:ilvl w:val="0"/>
          <w:numId w:val="2"/>
        </w:numPr>
        <w:spacing w:after="40" w:before="40"/>
      </w:pPr>
      <w:r>
        <w:rPr>
          <w:rFonts w:ascii="Arial" w:cs="Arial" w:eastAsia="Arial" w:hAnsi="Arial"/>
          <w:color w:val="1A1A1A"/>
          <w:sz w:val="22"/>
          <w:szCs w:val="22"/>
        </w:rPr>
        <w:t xml:space="preserve">access personal information only to the extent required for their specific role;</w:t>
      </w:r>
    </w:p>
    <w:p>
      <w:pPr>
        <w:pStyle w:val="ListParagraph"/>
        <w:numPr>
          <w:ilvl w:val="0"/>
          <w:numId w:val="2"/>
        </w:numPr>
        <w:spacing w:after="40" w:before="40"/>
      </w:pPr>
      <w:r>
        <w:rPr>
          <w:rFonts w:ascii="Arial" w:cs="Arial" w:eastAsia="Arial" w:hAnsi="Arial"/>
          <w:color w:val="1A1A1A"/>
          <w:sz w:val="22"/>
          <w:szCs w:val="22"/>
        </w:rPr>
        <w:t xml:space="preserve">not use User personal information for personal gain, external communication, or any purpose not authorised;</w:t>
      </w:r>
    </w:p>
    <w:p>
      <w:pPr>
        <w:pStyle w:val="ListParagraph"/>
        <w:numPr>
          <w:ilvl w:val="0"/>
          <w:numId w:val="2"/>
        </w:numPr>
        <w:spacing w:after="40" w:before="40"/>
      </w:pPr>
      <w:r>
        <w:rPr>
          <w:rFonts w:ascii="Arial" w:cs="Arial" w:eastAsia="Arial" w:hAnsi="Arial"/>
          <w:color w:val="1A1A1A"/>
          <w:sz w:val="22"/>
          <w:szCs w:val="22"/>
        </w:rPr>
        <w:t xml:space="preserve">report any suspected POPIA breach or unauthorised access to the Information Officer within 1 hour;</w:t>
      </w:r>
    </w:p>
    <w:p>
      <w:pPr>
        <w:pStyle w:val="ListParagraph"/>
        <w:numPr>
          <w:ilvl w:val="0"/>
          <w:numId w:val="2"/>
        </w:numPr>
        <w:spacing w:after="40" w:before="40"/>
      </w:pPr>
      <w:r>
        <w:rPr>
          <w:rFonts w:ascii="Arial" w:cs="Arial" w:eastAsia="Arial" w:hAnsi="Arial"/>
          <w:color w:val="1A1A1A"/>
          <w:sz w:val="22"/>
          <w:szCs w:val="22"/>
        </w:rPr>
        <w:t xml:space="preserve">comply with ANIMEX's POPIA policies and the Data Subject Rights Procedure (Compliance Pack, Section 2).</w:t>
      </w:r>
    </w:p>
    <w:p>
      <w:pPr>
        <w:pStyle w:val="Heading2"/>
        <w:spacing w:after="120" w:before="280"/>
      </w:pPr>
      <w:r>
        <w:rPr>
          <w:rFonts w:ascii="Arial" w:cs="Arial" w:eastAsia="Arial" w:hAnsi="Arial"/>
          <w:b/>
          <w:bCs/>
          <w:color w:val="1A1A1A"/>
          <w:sz w:val="26"/>
          <w:szCs w:val="26"/>
        </w:rPr>
        <w:t xml:space="preserve">3.4  Intellectual Property Assignment</w:t>
      </w:r>
    </w:p>
    <w:p>
      <w:pPr>
        <w:spacing w:after="80" w:before="80"/>
      </w:pPr>
      <w:r>
        <w:rPr>
          <w:rFonts w:ascii="Arial" w:cs="Arial" w:eastAsia="Arial" w:hAnsi="Arial"/>
          <w:color w:val="1A1A1A"/>
          <w:sz w:val="22"/>
          <w:szCs w:val="22"/>
        </w:rPr>
        <w:t xml:space="preserve">All inventions, software, code, designs, databases, processes, algorithms, content, and other work product ("IP") created by the Staff Member:</w:t>
      </w:r>
    </w:p>
    <w:p>
      <w:pPr>
        <w:pStyle w:val="ListParagraph"/>
        <w:numPr>
          <w:ilvl w:val="0"/>
          <w:numId w:val="2"/>
        </w:numPr>
        <w:spacing w:after="40" w:before="40"/>
      </w:pPr>
      <w:r>
        <w:rPr>
          <w:rFonts w:ascii="Arial" w:cs="Arial" w:eastAsia="Arial" w:hAnsi="Arial"/>
          <w:color w:val="1A1A1A"/>
          <w:sz w:val="22"/>
          <w:szCs w:val="22"/>
        </w:rPr>
        <w:t xml:space="preserve">in the course of their employment or engagement with ANIMEX; or</w:t>
      </w:r>
    </w:p>
    <w:p>
      <w:pPr>
        <w:pStyle w:val="ListParagraph"/>
        <w:numPr>
          <w:ilvl w:val="0"/>
          <w:numId w:val="2"/>
        </w:numPr>
        <w:spacing w:after="40" w:before="40"/>
      </w:pPr>
      <w:r>
        <w:rPr>
          <w:rFonts w:ascii="Arial" w:cs="Arial" w:eastAsia="Arial" w:hAnsi="Arial"/>
          <w:color w:val="1A1A1A"/>
          <w:sz w:val="22"/>
          <w:szCs w:val="22"/>
        </w:rPr>
        <w:t xml:space="preserve">using ANIMEX's resources, equipment, data, or time; or</w:t>
      </w:r>
    </w:p>
    <w:p>
      <w:pPr>
        <w:pStyle w:val="ListParagraph"/>
        <w:numPr>
          <w:ilvl w:val="0"/>
          <w:numId w:val="2"/>
        </w:numPr>
        <w:spacing w:after="40" w:before="40"/>
      </w:pPr>
      <w:r>
        <w:rPr>
          <w:rFonts w:ascii="Arial" w:cs="Arial" w:eastAsia="Arial" w:hAnsi="Arial"/>
          <w:color w:val="1A1A1A"/>
          <w:sz w:val="22"/>
          <w:szCs w:val="22"/>
        </w:rPr>
        <w:t xml:space="preserve">that relate to ANIMEX's business, products, or services,</w:t>
      </w:r>
    </w:p>
    <w:p>
      <w:pPr>
        <w:spacing w:after="80" w:before="80"/>
      </w:pPr>
      <w:r>
        <w:rPr>
          <w:rFonts w:ascii="Arial" w:cs="Arial" w:eastAsia="Arial" w:hAnsi="Arial"/>
          <w:color w:val="1A1A1A"/>
          <w:sz w:val="22"/>
          <w:szCs w:val="22"/>
        </w:rPr>
        <w:t xml:space="preserve">vest in ANIMEX from creation and are assigned to ANIMEX to the maximum extent permitted by South African law. The Staff Member waives all moral rights (where applicable) in such IP in favour of ANIMEX.</w:t>
      </w:r>
    </w:p>
    <w:p>
      <w:pPr>
        <w:pStyle w:val="Heading2"/>
        <w:spacing w:after="120" w:before="280"/>
      </w:pPr>
      <w:r>
        <w:rPr>
          <w:rFonts w:ascii="Arial" w:cs="Arial" w:eastAsia="Arial" w:hAnsi="Arial"/>
          <w:b/>
          <w:bCs/>
          <w:color w:val="1A1A1A"/>
          <w:sz w:val="26"/>
          <w:szCs w:val="26"/>
        </w:rPr>
        <w:t xml:space="preserve">3.5  Return of Property</w:t>
      </w:r>
    </w:p>
    <w:p>
      <w:pPr>
        <w:spacing w:after="80" w:before="80"/>
      </w:pPr>
      <w:r>
        <w:rPr>
          <w:rFonts w:ascii="Arial" w:cs="Arial" w:eastAsia="Arial" w:hAnsi="Arial"/>
          <w:color w:val="1A1A1A"/>
          <w:sz w:val="22"/>
          <w:szCs w:val="22"/>
        </w:rPr>
        <w:t xml:space="preserve">On termination, the Staff Member must immediately: return all ANIMEX devices, access credentials, documents, and materials; irreversibly delete all ANIMEX Confidential Information from personal devices and storage; and confirm compliance in writing.</w:t>
      </w:r>
    </w:p>
    <w:p>
      <w:pPr>
        <w:pStyle w:val="Heading2"/>
        <w:spacing w:after="120" w:before="280"/>
      </w:pPr>
      <w:r>
        <w:rPr>
          <w:rFonts w:ascii="Arial" w:cs="Arial" w:eastAsia="Arial" w:hAnsi="Arial"/>
          <w:b/>
          <w:bCs/>
          <w:color w:val="1A1A1A"/>
          <w:sz w:val="26"/>
          <w:szCs w:val="26"/>
        </w:rPr>
        <w:t xml:space="preserve">3.6  Injunctive Relief</w:t>
      </w:r>
    </w:p>
    <w:p>
      <w:pPr>
        <w:spacing w:after="80" w:before="80"/>
      </w:pPr>
      <w:r>
        <w:rPr>
          <w:rFonts w:ascii="Arial" w:cs="Arial" w:eastAsia="Arial" w:hAnsi="Arial"/>
          <w:color w:val="1A1A1A"/>
          <w:sz w:val="22"/>
          <w:szCs w:val="22"/>
        </w:rPr>
        <w:t xml:space="preserve">The Staff Member acknowledges that breach of this Agreement would cause irreparable harm and that ANIMEX is entitled to urgent interdict and specific performance without being required to post a bond.</w:t>
      </w:r>
    </w:p>
    <w:p>
      <w:pPr>
        <w:spacing w:after="60" w:before="60"/>
      </w:pPr>
      <w:r>
        <w:t xml:space="preserve"/>
      </w:r>
    </w:p>
    <w:p>
      <w:pPr>
        <w:spacing w:after="80" w:before="80"/>
      </w:pPr>
      <w:r>
        <w:rPr>
          <w:rFonts w:ascii="Arial" w:cs="Arial" w:eastAsia="Arial" w:hAnsi="Arial"/>
          <w:color w:val="1A1A1A"/>
          <w:sz w:val="22"/>
          <w:szCs w:val="22"/>
        </w:rPr>
        <w:t xml:space="preserve">For ANIMEX:</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Staff Member:</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Social Media and External Communications Policy</w:t>
      </w:r>
    </w:p>
    <w:p>
      <w:pPr>
        <w:pStyle w:val="Heading2"/>
        <w:spacing w:after="120" w:before="280"/>
      </w:pPr>
      <w:r>
        <w:rPr>
          <w:rFonts w:ascii="Arial" w:cs="Arial" w:eastAsia="Arial" w:hAnsi="Arial"/>
          <w:b/>
          <w:bCs/>
          <w:color w:val="1A1A1A"/>
          <w:sz w:val="26"/>
          <w:szCs w:val="26"/>
        </w:rPr>
        <w:t xml:space="preserve">4.1  Purpose</w:t>
      </w:r>
    </w:p>
    <w:p>
      <w:pPr>
        <w:spacing w:after="80" w:before="80"/>
      </w:pPr>
      <w:r>
        <w:rPr>
          <w:rFonts w:ascii="Arial" w:cs="Arial" w:eastAsia="Arial" w:hAnsi="Arial"/>
          <w:color w:val="1A1A1A"/>
          <w:sz w:val="22"/>
          <w:szCs w:val="22"/>
        </w:rPr>
        <w:t xml:space="preserve">This policy governs Staff use of social media and other public communications channels in a manner that could affect ANIMEX's reputation, legal position, or User trust. It is read together with the Staff Confidentiality Agreement (this pack, Section 3) and the Marketing and Communications Policy (Operational Policies Pack, Section 7).</w:t>
      </w:r>
    </w:p>
    <w:p>
      <w:pPr>
        <w:pStyle w:val="Heading2"/>
        <w:spacing w:after="120" w:before="280"/>
      </w:pPr>
      <w:r>
        <w:rPr>
          <w:rFonts w:ascii="Arial" w:cs="Arial" w:eastAsia="Arial" w:hAnsi="Arial"/>
          <w:b/>
          <w:bCs/>
          <w:color w:val="1A1A1A"/>
          <w:sz w:val="26"/>
          <w:szCs w:val="26"/>
        </w:rPr>
        <w:t xml:space="preserve">4.2  Personal Social Media</w:t>
      </w:r>
    </w:p>
    <w:p>
      <w:pPr>
        <w:spacing w:after="80" w:before="80"/>
      </w:pPr>
      <w:r>
        <w:rPr>
          <w:rFonts w:ascii="Arial" w:cs="Arial" w:eastAsia="Arial" w:hAnsi="Arial"/>
          <w:color w:val="1A1A1A"/>
          <w:sz w:val="22"/>
          <w:szCs w:val="22"/>
        </w:rPr>
        <w:t xml:space="preserve">Staff may use personal social media freely in their personal capacity. However, Staff must not:</w:t>
      </w:r>
    </w:p>
    <w:p>
      <w:pPr>
        <w:pStyle w:val="ListParagraph"/>
        <w:numPr>
          <w:ilvl w:val="0"/>
          <w:numId w:val="2"/>
        </w:numPr>
        <w:spacing w:after="40" w:before="40"/>
      </w:pPr>
      <w:r>
        <w:rPr>
          <w:rFonts w:ascii="Arial" w:cs="Arial" w:eastAsia="Arial" w:hAnsi="Arial"/>
          <w:color w:val="1A1A1A"/>
          <w:sz w:val="22"/>
          <w:szCs w:val="22"/>
        </w:rPr>
        <w:t xml:space="preserve">disclose ANIMEX Confidential Information, User personal information, financial data, legal matters, or platform security details;</w:t>
      </w:r>
    </w:p>
    <w:p>
      <w:pPr>
        <w:pStyle w:val="ListParagraph"/>
        <w:numPr>
          <w:ilvl w:val="0"/>
          <w:numId w:val="2"/>
        </w:numPr>
        <w:spacing w:after="40" w:before="40"/>
      </w:pPr>
      <w:r>
        <w:rPr>
          <w:rFonts w:ascii="Arial" w:cs="Arial" w:eastAsia="Arial" w:hAnsi="Arial"/>
          <w:color w:val="1A1A1A"/>
          <w:sz w:val="22"/>
          <w:szCs w:val="22"/>
        </w:rPr>
        <w:t xml:space="preserve">make statements that could be defamatory, misleading, or damaging to ANIMEX, its Users, or partners;</w:t>
      </w:r>
    </w:p>
    <w:p>
      <w:pPr>
        <w:pStyle w:val="ListParagraph"/>
        <w:numPr>
          <w:ilvl w:val="0"/>
          <w:numId w:val="2"/>
        </w:numPr>
        <w:spacing w:after="40" w:before="40"/>
      </w:pPr>
      <w:r>
        <w:rPr>
          <w:rFonts w:ascii="Arial" w:cs="Arial" w:eastAsia="Arial" w:hAnsi="Arial"/>
          <w:color w:val="1A1A1A"/>
          <w:sz w:val="22"/>
          <w:szCs w:val="22"/>
        </w:rPr>
        <w:t xml:space="preserve">claim to speak on ANIMEX's behalf without authorisation;</w:t>
      </w:r>
    </w:p>
    <w:p>
      <w:pPr>
        <w:pStyle w:val="ListParagraph"/>
        <w:numPr>
          <w:ilvl w:val="0"/>
          <w:numId w:val="2"/>
        </w:numPr>
        <w:spacing w:after="40" w:before="40"/>
      </w:pPr>
      <w:r>
        <w:rPr>
          <w:rFonts w:ascii="Arial" w:cs="Arial" w:eastAsia="Arial" w:hAnsi="Arial"/>
          <w:color w:val="1A1A1A"/>
          <w:sz w:val="22"/>
          <w:szCs w:val="22"/>
        </w:rPr>
        <w:t xml:space="preserve">post content about regulatory investigations, legal disputes, or law enforcement matters involving ANIMEX;</w:t>
      </w:r>
    </w:p>
    <w:p>
      <w:pPr>
        <w:pStyle w:val="ListParagraph"/>
        <w:numPr>
          <w:ilvl w:val="0"/>
          <w:numId w:val="2"/>
        </w:numPr>
        <w:spacing w:after="40" w:before="40"/>
      </w:pPr>
      <w:r>
        <w:rPr>
          <w:rFonts w:ascii="Arial" w:cs="Arial" w:eastAsia="Arial" w:hAnsi="Arial"/>
          <w:color w:val="1A1A1A"/>
          <w:sz w:val="22"/>
          <w:szCs w:val="22"/>
        </w:rPr>
        <w:t xml:space="preserve">share information about pending product launches, unannounced features, or unreleased policies;</w:t>
      </w:r>
    </w:p>
    <w:p>
      <w:pPr>
        <w:pStyle w:val="ListParagraph"/>
        <w:numPr>
          <w:ilvl w:val="0"/>
          <w:numId w:val="2"/>
        </w:numPr>
        <w:spacing w:after="40" w:before="40"/>
      </w:pPr>
      <w:r>
        <w:rPr>
          <w:rFonts w:ascii="Arial" w:cs="Arial" w:eastAsia="Arial" w:hAnsi="Arial"/>
          <w:color w:val="1A1A1A"/>
          <w:sz w:val="22"/>
          <w:szCs w:val="22"/>
        </w:rPr>
        <w:t xml:space="preserve">engage in arguments or disputes with Users, partners, or competitors while identified as an ANIMEX employee.</w:t>
      </w:r>
    </w:p>
    <w:p>
      <w:pPr>
        <w:spacing w:after="80" w:before="80"/>
      </w:pPr>
      <w:r>
        <w:rPr>
          <w:rFonts w:ascii="Arial" w:cs="Arial" w:eastAsia="Arial" w:hAnsi="Arial"/>
          <w:color w:val="1A1A1A"/>
          <w:sz w:val="22"/>
          <w:szCs w:val="22"/>
        </w:rPr>
        <w:t xml:space="preserve">Staff who identify themselves as ANIMEX employees or who post content that is identifiable as relating to their ANIMEX role should include a disclaimer: "Views expressed are my own and do not represent ANIMEX."</w:t>
      </w:r>
    </w:p>
    <w:p>
      <w:pPr>
        <w:pStyle w:val="Heading2"/>
        <w:spacing w:after="120" w:before="280"/>
      </w:pPr>
      <w:r>
        <w:rPr>
          <w:rFonts w:ascii="Arial" w:cs="Arial" w:eastAsia="Arial" w:hAnsi="Arial"/>
          <w:b/>
          <w:bCs/>
          <w:color w:val="1A1A1A"/>
          <w:sz w:val="26"/>
          <w:szCs w:val="26"/>
        </w:rPr>
        <w:t xml:space="preserve">4.3  Official ANIMEX Social Media</w:t>
      </w:r>
    </w:p>
    <w:p>
      <w:pPr>
        <w:spacing w:after="80" w:before="80"/>
      </w:pPr>
      <w:r>
        <w:rPr>
          <w:rFonts w:ascii="Arial" w:cs="Arial" w:eastAsia="Arial" w:hAnsi="Arial"/>
          <w:color w:val="1A1A1A"/>
          <w:sz w:val="22"/>
          <w:szCs w:val="22"/>
        </w:rPr>
        <w:t xml:space="preserve">Only designated Staff with written authorisation from the CEO may:</w:t>
      </w:r>
    </w:p>
    <w:p>
      <w:pPr>
        <w:pStyle w:val="ListParagraph"/>
        <w:numPr>
          <w:ilvl w:val="0"/>
          <w:numId w:val="2"/>
        </w:numPr>
        <w:spacing w:after="40" w:before="40"/>
      </w:pPr>
      <w:r>
        <w:rPr>
          <w:rFonts w:ascii="Arial" w:cs="Arial" w:eastAsia="Arial" w:hAnsi="Arial"/>
          <w:color w:val="1A1A1A"/>
          <w:sz w:val="22"/>
          <w:szCs w:val="22"/>
        </w:rPr>
        <w:t xml:space="preserve">post on ANIMEX's official social media accounts;</w:t>
      </w:r>
    </w:p>
    <w:p>
      <w:pPr>
        <w:pStyle w:val="ListParagraph"/>
        <w:numPr>
          <w:ilvl w:val="0"/>
          <w:numId w:val="2"/>
        </w:numPr>
        <w:spacing w:after="40" w:before="40"/>
      </w:pPr>
      <w:r>
        <w:rPr>
          <w:rFonts w:ascii="Arial" w:cs="Arial" w:eastAsia="Arial" w:hAnsi="Arial"/>
          <w:color w:val="1A1A1A"/>
          <w:sz w:val="22"/>
          <w:szCs w:val="22"/>
        </w:rPr>
        <w:t xml:space="preserve">speak to media on ANIMEX's behalf;</w:t>
      </w:r>
    </w:p>
    <w:p>
      <w:pPr>
        <w:pStyle w:val="ListParagraph"/>
        <w:numPr>
          <w:ilvl w:val="0"/>
          <w:numId w:val="2"/>
        </w:numPr>
        <w:spacing w:after="40" w:before="40"/>
      </w:pPr>
      <w:r>
        <w:rPr>
          <w:rFonts w:ascii="Arial" w:cs="Arial" w:eastAsia="Arial" w:hAnsi="Arial"/>
          <w:color w:val="1A1A1A"/>
          <w:sz w:val="22"/>
          <w:szCs w:val="22"/>
        </w:rPr>
        <w:t xml:space="preserve">issue press releases, blog posts, or public statements in ANIMEX's name;</w:t>
      </w:r>
    </w:p>
    <w:p>
      <w:pPr>
        <w:pStyle w:val="ListParagraph"/>
        <w:numPr>
          <w:ilvl w:val="0"/>
          <w:numId w:val="2"/>
        </w:numPr>
        <w:spacing w:after="40" w:before="40"/>
      </w:pPr>
      <w:r>
        <w:rPr>
          <w:rFonts w:ascii="Arial" w:cs="Arial" w:eastAsia="Arial" w:hAnsi="Arial"/>
          <w:color w:val="1A1A1A"/>
          <w:sz w:val="22"/>
          <w:szCs w:val="22"/>
        </w:rPr>
        <w:t xml:space="preserve">respond to negative media coverage or public complaints on ANIMEX's official channels.</w:t>
      </w:r>
    </w:p>
    <w:p>
      <w:pPr>
        <w:spacing w:after="80" w:before="80"/>
      </w:pPr>
      <w:r>
        <w:rPr>
          <w:rFonts w:ascii="Arial" w:cs="Arial" w:eastAsia="Arial" w:hAnsi="Arial"/>
          <w:color w:val="1A1A1A"/>
          <w:sz w:val="22"/>
          <w:szCs w:val="22"/>
        </w:rPr>
        <w:t xml:space="preserve">All official communications on legal, regulatory, or welfare matters must be reviewed by the CEO and, where appropriate, ANIMEX's legal adviser before publication.</w:t>
      </w:r>
    </w:p>
    <w:p>
      <w:pPr>
        <w:pStyle w:val="Heading2"/>
        <w:spacing w:after="120" w:before="280"/>
      </w:pPr>
      <w:r>
        <w:rPr>
          <w:rFonts w:ascii="Arial" w:cs="Arial" w:eastAsia="Arial" w:hAnsi="Arial"/>
          <w:b/>
          <w:bCs/>
          <w:color w:val="1A1A1A"/>
          <w:sz w:val="26"/>
          <w:szCs w:val="26"/>
        </w:rPr>
        <w:t xml:space="preserve">4.4  Media Enquiries</w:t>
      </w:r>
    </w:p>
    <w:p>
      <w:pPr>
        <w:spacing w:after="80" w:before="80"/>
      </w:pPr>
      <w:r>
        <w:rPr>
          <w:rFonts w:ascii="Arial" w:cs="Arial" w:eastAsia="Arial" w:hAnsi="Arial"/>
          <w:color w:val="1A1A1A"/>
          <w:sz w:val="22"/>
          <w:szCs w:val="22"/>
        </w:rPr>
        <w:t xml:space="preserve">All media enquiries must be referred to the CEO immediately without comment. No Staff member may provide quotes, background information, or off-the-record briefings to journalists without the CEO's express authorisation.</w:t>
      </w:r>
    </w:p>
    <w:p>
      <w:pPr>
        <w:pStyle w:val="Heading2"/>
        <w:spacing w:after="120" w:before="280"/>
      </w:pPr>
      <w:r>
        <w:rPr>
          <w:rFonts w:ascii="Arial" w:cs="Arial" w:eastAsia="Arial" w:hAnsi="Arial"/>
          <w:b/>
          <w:bCs/>
          <w:color w:val="1A1A1A"/>
          <w:sz w:val="26"/>
          <w:szCs w:val="26"/>
        </w:rPr>
        <w:t xml:space="preserve">4.5  User Reviews and Complaints on Social Media</w:t>
      </w:r>
    </w:p>
    <w:p>
      <w:pPr>
        <w:spacing w:after="80" w:before="80"/>
      </w:pPr>
      <w:r>
        <w:rPr>
          <w:rFonts w:ascii="Arial" w:cs="Arial" w:eastAsia="Arial" w:hAnsi="Arial"/>
          <w:color w:val="1A1A1A"/>
          <w:sz w:val="22"/>
          <w:szCs w:val="22"/>
        </w:rPr>
        <w:t xml:space="preserve">Staff who become aware of negative User reviews, welfare complaints, or social media criticism of ANIMEX must:</w:t>
      </w:r>
    </w:p>
    <w:p>
      <w:pPr>
        <w:pStyle w:val="ListParagraph"/>
        <w:numPr>
          <w:ilvl w:val="0"/>
          <w:numId w:val="2"/>
        </w:numPr>
        <w:spacing w:after="40" w:before="40"/>
      </w:pPr>
      <w:r>
        <w:rPr>
          <w:rFonts w:ascii="Arial" w:cs="Arial" w:eastAsia="Arial" w:hAnsi="Arial"/>
          <w:color w:val="1A1A1A"/>
          <w:sz w:val="22"/>
          <w:szCs w:val="22"/>
        </w:rPr>
        <w:t xml:space="preserve">not respond personally from a personal account;</w:t>
      </w:r>
    </w:p>
    <w:p>
      <w:pPr>
        <w:pStyle w:val="ListParagraph"/>
        <w:numPr>
          <w:ilvl w:val="0"/>
          <w:numId w:val="2"/>
        </w:numPr>
        <w:spacing w:after="40" w:before="40"/>
      </w:pPr>
      <w:r>
        <w:rPr>
          <w:rFonts w:ascii="Arial" w:cs="Arial" w:eastAsia="Arial" w:hAnsi="Arial"/>
          <w:color w:val="1A1A1A"/>
          <w:sz w:val="22"/>
          <w:szCs w:val="22"/>
        </w:rPr>
        <w:t xml:space="preserve">escalate to the CEO or designated communications lead;</w:t>
      </w:r>
    </w:p>
    <w:p>
      <w:pPr>
        <w:pStyle w:val="ListParagraph"/>
        <w:numPr>
          <w:ilvl w:val="0"/>
          <w:numId w:val="2"/>
        </w:numPr>
        <w:spacing w:after="40" w:before="40"/>
      </w:pPr>
      <w:r>
        <w:rPr>
          <w:rFonts w:ascii="Arial" w:cs="Arial" w:eastAsia="Arial" w:hAnsi="Arial"/>
          <w:color w:val="1A1A1A"/>
          <w:sz w:val="22"/>
          <w:szCs w:val="22"/>
        </w:rPr>
        <w:t xml:space="preserve">not acknowledge, confirm, or deny operational details, User disputes, or ongoing investigations.</w:t>
      </w:r>
    </w:p>
    <w:p>
      <w:pPr>
        <w:pStyle w:val="Heading2"/>
        <w:spacing w:after="120" w:before="280"/>
      </w:pPr>
      <w:r>
        <w:rPr>
          <w:rFonts w:ascii="Arial" w:cs="Arial" w:eastAsia="Arial" w:hAnsi="Arial"/>
          <w:b/>
          <w:bCs/>
          <w:color w:val="1A1A1A"/>
          <w:sz w:val="26"/>
          <w:szCs w:val="26"/>
        </w:rPr>
        <w:t xml:space="preserve">4.6  Breach</w:t>
      </w:r>
    </w:p>
    <w:p>
      <w:pPr>
        <w:spacing w:after="80" w:before="80"/>
      </w:pPr>
      <w:r>
        <w:rPr>
          <w:rFonts w:ascii="Arial" w:cs="Arial" w:eastAsia="Arial" w:hAnsi="Arial"/>
          <w:color w:val="1A1A1A"/>
          <w:sz w:val="22"/>
          <w:szCs w:val="22"/>
        </w:rPr>
        <w:t xml:space="preserve">Breach of this policy that causes material damage to ANIMEX's reputation, discloses confidential or personal information, or creates legal or regulatory risk may result in disciplinary action including dismissal.</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Travel and Expense Policy</w:t>
      </w:r>
    </w:p>
    <w:p>
      <w:pPr>
        <w:pStyle w:val="Heading2"/>
        <w:spacing w:after="120" w:before="280"/>
      </w:pPr>
      <w:r>
        <w:rPr>
          <w:rFonts w:ascii="Arial" w:cs="Arial" w:eastAsia="Arial" w:hAnsi="Arial"/>
          <w:b/>
          <w:bCs/>
          <w:color w:val="1A1A1A"/>
          <w:sz w:val="26"/>
          <w:szCs w:val="26"/>
        </w:rPr>
        <w:t xml:space="preserve">5.1  Purpose</w:t>
      </w:r>
    </w:p>
    <w:p>
      <w:pPr>
        <w:spacing w:after="80" w:before="80"/>
      </w:pPr>
      <w:r>
        <w:rPr>
          <w:rFonts w:ascii="Arial" w:cs="Arial" w:eastAsia="Arial" w:hAnsi="Arial"/>
          <w:color w:val="1A1A1A"/>
          <w:sz w:val="22"/>
          <w:szCs w:val="22"/>
        </w:rPr>
        <w:t xml:space="preserve">This policy governs reimbursement of business expenses incurred by ANIMEX Staff in the performance of their duties.</w:t>
      </w:r>
    </w:p>
    <w:p>
      <w:pPr>
        <w:pStyle w:val="Heading2"/>
        <w:spacing w:after="120" w:before="280"/>
      </w:pPr>
      <w:r>
        <w:rPr>
          <w:rFonts w:ascii="Arial" w:cs="Arial" w:eastAsia="Arial" w:hAnsi="Arial"/>
          <w:b/>
          <w:bCs/>
          <w:color w:val="1A1A1A"/>
          <w:sz w:val="26"/>
          <w:szCs w:val="26"/>
        </w:rPr>
        <w:t xml:space="preserve">5.2  Pre-Approval</w:t>
      </w:r>
    </w:p>
    <w:p>
      <w:pPr>
        <w:spacing w:after="80" w:before="80"/>
      </w:pPr>
      <w:r>
        <w:rPr>
          <w:rFonts w:ascii="Arial" w:cs="Arial" w:eastAsia="Arial" w:hAnsi="Arial"/>
          <w:color w:val="1A1A1A"/>
          <w:sz w:val="22"/>
          <w:szCs w:val="22"/>
        </w:rPr>
        <w:t>All travel and expenses above ACTION REQUIRED: insert approved Rand amount from the live Fee Schedule or Delegations Register must be pre-approved in writing by the Staff member's manager before being incurred. Expenses incurred without pre-approval where required may not be reimbursed.</w:t>
      </w:r>
    </w:p>
    <w:p>
      <w:pPr>
        <w:pStyle w:val="Heading2"/>
        <w:spacing w:after="120" w:before="280"/>
      </w:pPr>
      <w:r>
        <w:rPr>
          <w:rFonts w:ascii="Arial" w:cs="Arial" w:eastAsia="Arial" w:hAnsi="Arial"/>
          <w:b/>
          <w:bCs/>
          <w:color w:val="1A1A1A"/>
          <w:sz w:val="26"/>
          <w:szCs w:val="26"/>
        </w:rPr>
        <w:t xml:space="preserve">5.3  Eligible Expenses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Expense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Policy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Business travel (flights)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Economy class; pre-approved; most economical fare available at time of booking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Business travel (accommodation)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Up to ACTION REQUIRED: insert approved Rand amount from the live Fee Schedule or Delegations Register per night; business or standard room; pre-approved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Ground transport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Metered taxi, e-hailing (Uber/Bolt), or mileage at SARS rate (at the SARS-prescribed rate per kilometre for the relevant tax year, where applicable) for personal vehicle use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Meals (while travelling)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Up to ACTION REQUIRED: insert approved Rand amount from the live Fee Schedule or Delegations Register per day - receipts required for amounts above ACTION REQUIRED: insert approved Rand amount from the live Fee Schedule or Delegations Register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Business entertainment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Pre-approved; must record attendees and business purpose; up to ACTION REQUIRED: insert approved Rand amount from the live Fee Schedule or Delegations Register per event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Software and tools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Pre-approved by CTO; must be for a specific business purpose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Training and professional development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Pre-approved; within annual training budget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Internet and phone (partial)</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Reimbursement of business-related costs above personal baseline - as agreed in writing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Conference or event registration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Pre-approved; economy travel applies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5.4  Non-Reimbursable Expenses</w:t>
      </w:r>
    </w:p>
    <w:p>
      <w:pPr>
        <w:spacing w:after="80" w:before="80"/>
      </w:pPr>
      <w:r>
        <w:rPr>
          <w:rFonts w:ascii="Arial" w:cs="Arial" w:eastAsia="Arial" w:hAnsi="Arial"/>
          <w:color w:val="1A1A1A"/>
          <w:sz w:val="22"/>
          <w:szCs w:val="22"/>
        </w:rPr>
        <w:t xml:space="preserve">ANIMEX does not reimburse:</w:t>
      </w:r>
    </w:p>
    <w:p>
      <w:pPr>
        <w:pStyle w:val="ListParagraph"/>
        <w:numPr>
          <w:ilvl w:val="0"/>
          <w:numId w:val="2"/>
        </w:numPr>
        <w:spacing w:after="40" w:before="40"/>
      </w:pPr>
      <w:r>
        <w:rPr>
          <w:rFonts w:ascii="Arial" w:cs="Arial" w:eastAsia="Arial" w:hAnsi="Arial"/>
          <w:color w:val="1A1A1A"/>
          <w:sz w:val="22"/>
          <w:szCs w:val="22"/>
        </w:rPr>
        <w:t xml:space="preserve">personal entertainment, alcohol (except where part of a pre-approved business entertainment event within the entertainment cap);</w:t>
      </w:r>
    </w:p>
    <w:p>
      <w:pPr>
        <w:pStyle w:val="ListParagraph"/>
        <w:numPr>
          <w:ilvl w:val="0"/>
          <w:numId w:val="2"/>
        </w:numPr>
        <w:spacing w:after="40" w:before="40"/>
      </w:pPr>
      <w:r>
        <w:rPr>
          <w:rFonts w:ascii="Arial" w:cs="Arial" w:eastAsia="Arial" w:hAnsi="Arial"/>
          <w:color w:val="1A1A1A"/>
          <w:sz w:val="22"/>
          <w:szCs w:val="22"/>
        </w:rPr>
        <w:t xml:space="preserve">personal fines, penalties, or traffic violations;</w:t>
      </w:r>
    </w:p>
    <w:p>
      <w:pPr>
        <w:pStyle w:val="ListParagraph"/>
        <w:numPr>
          <w:ilvl w:val="0"/>
          <w:numId w:val="2"/>
        </w:numPr>
        <w:spacing w:after="40" w:before="40"/>
      </w:pPr>
      <w:r>
        <w:rPr>
          <w:rFonts w:ascii="Arial" w:cs="Arial" w:eastAsia="Arial" w:hAnsi="Arial"/>
          <w:color w:val="1A1A1A"/>
          <w:sz w:val="22"/>
          <w:szCs w:val="22"/>
        </w:rPr>
        <w:t xml:space="preserve">personal care, gym, clothing, or personal items;</w:t>
      </w:r>
    </w:p>
    <w:p>
      <w:pPr>
        <w:pStyle w:val="ListParagraph"/>
        <w:numPr>
          <w:ilvl w:val="0"/>
          <w:numId w:val="2"/>
        </w:numPr>
        <w:spacing w:after="40" w:before="40"/>
      </w:pPr>
      <w:r>
        <w:rPr>
          <w:rFonts w:ascii="Arial" w:cs="Arial" w:eastAsia="Arial" w:hAnsi="Arial"/>
          <w:color w:val="1A1A1A"/>
          <w:sz w:val="22"/>
          <w:szCs w:val="22"/>
        </w:rPr>
        <w:t xml:space="preserve">first-class or business class travel (unless a medical or specific operational necessity is pre-approved in writing by the CEO);</w:t>
      </w:r>
    </w:p>
    <w:p>
      <w:pPr>
        <w:pStyle w:val="ListParagraph"/>
        <w:numPr>
          <w:ilvl w:val="0"/>
          <w:numId w:val="2"/>
        </w:numPr>
        <w:spacing w:after="40" w:before="40"/>
      </w:pPr>
      <w:r>
        <w:rPr>
          <w:rFonts w:ascii="Arial" w:cs="Arial" w:eastAsia="Arial" w:hAnsi="Arial"/>
          <w:color w:val="1A1A1A"/>
          <w:sz w:val="22"/>
          <w:szCs w:val="22"/>
        </w:rPr>
        <w:t xml:space="preserve">expenses incurred by non-employees (family members, friends) unless pre-approved;</w:t>
      </w:r>
    </w:p>
    <w:p>
      <w:pPr>
        <w:pStyle w:val="ListParagraph"/>
        <w:numPr>
          <w:ilvl w:val="0"/>
          <w:numId w:val="2"/>
        </w:numPr>
        <w:spacing w:after="40" w:before="40"/>
      </w:pPr>
      <w:r>
        <w:rPr>
          <w:rFonts w:ascii="Arial" w:cs="Arial" w:eastAsia="Arial" w:hAnsi="Arial"/>
          <w:color w:val="1A1A1A"/>
          <w:sz w:val="22"/>
          <w:szCs w:val="22"/>
        </w:rPr>
        <w:t xml:space="preserve">expenses not supported by a valid receipt.</w:t>
      </w:r>
    </w:p>
    <w:p>
      <w:pPr>
        <w:pStyle w:val="Heading2"/>
        <w:spacing w:after="120" w:before="280"/>
      </w:pPr>
      <w:r>
        <w:rPr>
          <w:rFonts w:ascii="Arial" w:cs="Arial" w:eastAsia="Arial" w:hAnsi="Arial"/>
          <w:b/>
          <w:bCs/>
          <w:color w:val="1A1A1A"/>
          <w:sz w:val="26"/>
          <w:szCs w:val="26"/>
        </w:rPr>
        <w:t xml:space="preserve">5.5  Submission</w:t>
      </w:r>
    </w:p>
    <w:p>
      <w:pPr>
        <w:spacing w:after="80" w:before="80"/>
      </w:pPr>
      <w:r>
        <w:rPr>
          <w:rFonts w:ascii="Arial" w:cs="Arial" w:eastAsia="Arial" w:hAnsi="Arial"/>
          <w:color w:val="1A1A1A"/>
          <w:sz w:val="22"/>
          <w:szCs w:val="22"/>
        </w:rPr>
        <w:t>Expense claims must be submitted within 30 (thirty) calendar days of the expense being incurred, using ANIMEX's expense claim form, with all supporting receipts. Late claims may be declined. ANIMEX targets reimbursement within 14 business days of a compliant claim.</w:t>
      </w:r>
    </w:p>
    <w:p>
      <w:pPr>
        <w:pStyle w:val="Heading2"/>
        <w:spacing w:after="120" w:before="280"/>
      </w:pPr>
      <w:r>
        <w:rPr>
          <w:rFonts w:ascii="Arial" w:cs="Arial" w:eastAsia="Arial" w:hAnsi="Arial"/>
          <w:b/>
          <w:bCs/>
          <w:color w:val="1A1A1A"/>
          <w:sz w:val="26"/>
          <w:szCs w:val="26"/>
        </w:rPr>
        <w:t xml:space="preserve">5.6  SARS Compliance</w:t>
      </w:r>
    </w:p>
    <w:p>
      <w:pPr>
        <w:spacing w:after="80" w:before="80"/>
      </w:pPr>
      <w:r>
        <w:rPr>
          <w:rFonts w:ascii="Arial" w:cs="Arial" w:eastAsia="Arial" w:hAnsi="Arial"/>
          <w:color w:val="1A1A1A"/>
          <w:sz w:val="22"/>
          <w:szCs w:val="22"/>
        </w:rPr>
        <w:t xml:space="preserve">ANIMEX will process reimbursements in a manner consistent with SARS requirements. Travel allowances and expense reimbursements that form part of remuneration are subject to applicable PAYE treatment. The Finance team will advise on specific tax treatment.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Disciplinary Policy and Procedure</w:t>
      </w:r>
    </w:p>
    <w:p>
      <w:pPr>
        <w:shd w:fill="FFF2CC" w:val="clear"/>
        <w:spacing w:after="80" w:before="80"/>
        <w:ind w:left="360" w:right="360"/>
      </w:pPr>
      <w:r>
        <w:rPr>
          <w:rFonts w:ascii="Arial" w:cs="Arial" w:eastAsia="Arial" w:hAnsi="Arial"/>
          <w:b/>
          <w:bCs/>
          <w:color w:val="7F6000"/>
          <w:sz w:val="20"/>
          <w:szCs w:val="20"/>
        </w:rPr>
        <w:t>ACTION REQUIRED: This policy must comply with the LRA, Code of Good Practice: Dismissal (Schedule 8 to the LRA), and applicable CCMA guidelines. Have a labour attorney review before applying. This is a framework - it does not replace legal advice on specific situations.</w:t>
      </w:r>
    </w:p>
    <w:p>
      <w:pPr>
        <w:pStyle w:val="Heading2"/>
        <w:spacing w:after="120" w:before="280"/>
      </w:pPr>
      <w:r>
        <w:rPr>
          <w:rFonts w:ascii="Arial" w:cs="Arial" w:eastAsia="Arial" w:hAnsi="Arial"/>
          <w:b/>
          <w:bCs/>
          <w:color w:val="1A1A1A"/>
          <w:sz w:val="26"/>
          <w:szCs w:val="26"/>
        </w:rPr>
        <w:t xml:space="preserve">6.1  Purpose</w:t>
      </w:r>
    </w:p>
    <w:p>
      <w:pPr>
        <w:spacing w:after="80" w:before="80"/>
      </w:pPr>
      <w:r>
        <w:rPr>
          <w:rFonts w:ascii="Arial" w:cs="Arial" w:eastAsia="Arial" w:hAnsi="Arial"/>
          <w:color w:val="1A1A1A"/>
          <w:sz w:val="22"/>
          <w:szCs w:val="22"/>
        </w:rPr>
        <w:t xml:space="preserve">This policy provides a fair, consistent, and lawful framework for addressing workplace misconduct and poor performance in compliance with the Labour Relations Act 66 of 1995 (LRA), the Basic Conditions of Employment Act 75 of 1997 (BCEA), and the Code of Good Practice: Dismissal.</w:t>
      </w:r>
    </w:p>
    <w:p>
      <w:pPr>
        <w:pStyle w:val="Heading2"/>
        <w:spacing w:after="120" w:before="280"/>
      </w:pPr>
      <w:r>
        <w:rPr>
          <w:rFonts w:ascii="Arial" w:cs="Arial" w:eastAsia="Arial" w:hAnsi="Arial"/>
          <w:b/>
          <w:bCs/>
          <w:color w:val="1A1A1A"/>
          <w:sz w:val="26"/>
          <w:szCs w:val="26"/>
        </w:rPr>
        <w:t xml:space="preserve">6.2  Principles</w:t>
      </w:r>
    </w:p>
    <w:p>
      <w:pPr>
        <w:spacing w:after="80" w:before="80"/>
      </w:pPr>
      <w:r>
        <w:rPr>
          <w:rFonts w:ascii="Arial" w:cs="Arial" w:eastAsia="Arial" w:hAnsi="Arial"/>
          <w:color w:val="1A1A1A"/>
          <w:sz w:val="22"/>
          <w:szCs w:val="22"/>
        </w:rPr>
        <w:t xml:space="preserve">ANIMEX's disciplinary process is based on:</w:t>
      </w:r>
    </w:p>
    <w:p>
      <w:pPr>
        <w:pStyle w:val="ListParagraph"/>
        <w:numPr>
          <w:ilvl w:val="0"/>
          <w:numId w:val="2"/>
        </w:numPr>
        <w:spacing w:after="40" w:before="40"/>
      </w:pPr>
      <w:r>
        <w:rPr>
          <w:rFonts w:ascii="Arial" w:cs="Arial" w:eastAsia="Arial" w:hAnsi="Arial"/>
          <w:color w:val="1A1A1A"/>
          <w:sz w:val="22"/>
          <w:szCs w:val="22"/>
        </w:rPr>
        <w:t>fairness - both procedural (a fair process) and substantive (a valid reason);</w:t>
      </w:r>
    </w:p>
    <w:p>
      <w:pPr>
        <w:pStyle w:val="ListParagraph"/>
        <w:numPr>
          <w:ilvl w:val="0"/>
          <w:numId w:val="2"/>
        </w:numPr>
        <w:spacing w:after="40" w:before="40"/>
      </w:pPr>
      <w:r>
        <w:rPr>
          <w:rFonts w:ascii="Arial" w:cs="Arial" w:eastAsia="Arial" w:hAnsi="Arial"/>
          <w:color w:val="1A1A1A"/>
          <w:sz w:val="22"/>
          <w:szCs w:val="22"/>
        </w:rPr>
        <w:t>consistency - similar conduct is treated similarly;</w:t>
      </w:r>
    </w:p>
    <w:p>
      <w:pPr>
        <w:pStyle w:val="ListParagraph"/>
        <w:numPr>
          <w:ilvl w:val="0"/>
          <w:numId w:val="2"/>
        </w:numPr>
        <w:spacing w:after="40" w:before="40"/>
      </w:pPr>
      <w:r>
        <w:rPr>
          <w:rFonts w:ascii="Arial" w:cs="Arial" w:eastAsia="Arial" w:hAnsi="Arial"/>
          <w:color w:val="1A1A1A"/>
          <w:sz w:val="22"/>
          <w:szCs w:val="22"/>
        </w:rPr>
        <w:t>proportionality - the sanction is appropriate to the severity of the offence;</w:t>
      </w:r>
    </w:p>
    <w:p>
      <w:pPr>
        <w:pStyle w:val="ListParagraph"/>
        <w:numPr>
          <w:ilvl w:val="0"/>
          <w:numId w:val="2"/>
        </w:numPr>
        <w:spacing w:after="40" w:before="40"/>
      </w:pPr>
      <w:r>
        <w:rPr>
          <w:rFonts w:ascii="Arial" w:cs="Arial" w:eastAsia="Arial" w:hAnsi="Arial"/>
          <w:color w:val="1A1A1A"/>
          <w:sz w:val="22"/>
          <w:szCs w:val="22"/>
        </w:rPr>
        <w:t>progressive discipline - less serious offences receive progressive warnings before dismissal, except where the offence is serious enough to justify immediate dismissal.</w:t>
      </w:r>
    </w:p>
    <w:p>
      <w:pPr>
        <w:pStyle w:val="Heading2"/>
        <w:spacing w:after="120" w:before="280"/>
      </w:pPr>
      <w:r>
        <w:rPr>
          <w:rFonts w:ascii="Arial" w:cs="Arial" w:eastAsia="Arial" w:hAnsi="Arial"/>
          <w:b/>
          <w:bCs/>
          <w:color w:val="1A1A1A"/>
          <w:sz w:val="26"/>
          <w:szCs w:val="26"/>
        </w:rPr>
        <w:t xml:space="preserve">6.3  Categories of Misconduct</w:t>
      </w:r>
    </w:p>
    <w:p>
      <w:pPr>
        <w:spacing w:after="80" w:before="200"/>
      </w:pPr>
      <w:r>
        <w:rPr>
          <w:rFonts w:ascii="Arial" w:cs="Arial" w:eastAsia="Arial" w:hAnsi="Arial"/>
          <w:b/>
          <w:bCs/>
          <w:color w:val="1A1A1A"/>
          <w:sz w:val="22"/>
          <w:szCs w:val="22"/>
          <w:u w:val="single"/>
        </w:rPr>
        <w:t xml:space="preserve">Minor Misconduct (progressive discipline)</w:t>
      </w:r>
    </w:p>
    <w:p>
      <w:pPr>
        <w:spacing w:after="80" w:before="80"/>
      </w:pPr>
      <w:r>
        <w:rPr>
          <w:rFonts w:ascii="Arial" w:cs="Arial" w:eastAsia="Arial" w:hAnsi="Arial"/>
          <w:color w:val="1A1A1A"/>
          <w:sz w:val="22"/>
          <w:szCs w:val="22"/>
        </w:rPr>
        <w:t xml:space="preserve">Includes: lateness or absenteeism without valid reason; failure to follow reasonable instructions; minor insubordination; neglect of duties not causing significant harm; first-time minor policy breaches.</w:t>
      </w:r>
    </w:p>
    <w:p>
      <w:pPr>
        <w:spacing w:after="80" w:before="80"/>
      </w:pPr>
      <w:r>
        <w:rPr>
          <w:rFonts w:ascii="Arial" w:cs="Arial" w:eastAsia="Arial" w:hAnsi="Arial"/>
          <w:color w:val="1A1A1A"/>
          <w:sz w:val="22"/>
          <w:szCs w:val="22"/>
        </w:rPr>
        <w:t>Typical sanction progression: verbal warning -&gt; first written warning -&gt; final written warning -&gt; dismissal.</w:t>
      </w:r>
    </w:p>
    <w:p>
      <w:pPr>
        <w:spacing w:after="60" w:before="60"/>
      </w:pPr>
      <w:r>
        <w:t xml:space="preserve"/>
      </w:r>
    </w:p>
    <w:p>
      <w:pPr>
        <w:spacing w:after="80" w:before="200"/>
      </w:pPr>
      <w:r>
        <w:rPr>
          <w:rFonts w:ascii="Arial" w:cs="Arial" w:eastAsia="Arial" w:hAnsi="Arial"/>
          <w:b/>
          <w:bCs/>
          <w:color w:val="1A1A1A"/>
          <w:sz w:val="22"/>
          <w:szCs w:val="22"/>
          <w:u w:val="single"/>
        </w:rPr>
        <w:t xml:space="preserve">Serious Misconduct (may justify final warning or dismissal)</w:t>
      </w:r>
    </w:p>
    <w:p>
      <w:pPr>
        <w:spacing w:after="80" w:before="80"/>
      </w:pPr>
      <w:r>
        <w:rPr>
          <w:rFonts w:ascii="Arial" w:cs="Arial" w:eastAsia="Arial" w:hAnsi="Arial"/>
          <w:color w:val="1A1A1A"/>
          <w:sz w:val="22"/>
          <w:szCs w:val="22"/>
        </w:rPr>
        <w:t xml:space="preserve">Includes: repeated minor misconduct after warning; deliberate breach of ANIMEX policies; misuse of ANIMEX systems; minor data protection breaches; misrepresentation to management.</w:t>
      </w:r>
    </w:p>
    <w:p>
      <w:pPr>
        <w:spacing w:after="60" w:before="60"/>
      </w:pPr>
      <w:r>
        <w:t xml:space="preserve"/>
      </w:r>
    </w:p>
    <w:p>
      <w:pPr>
        <w:spacing w:after="80" w:before="200"/>
      </w:pPr>
      <w:r>
        <w:rPr>
          <w:rFonts w:ascii="Arial" w:cs="Arial" w:eastAsia="Arial" w:hAnsi="Arial"/>
          <w:b/>
          <w:bCs/>
          <w:color w:val="1A1A1A"/>
          <w:sz w:val="22"/>
          <w:szCs w:val="22"/>
          <w:u w:val="single"/>
        </w:rPr>
        <w:t xml:space="preserve">Dismissible Offences (may justify summary dismissal after fair process)</w:t>
      </w:r>
    </w:p>
    <w:p>
      <w:pPr>
        <w:spacing w:after="80" w:before="80"/>
      </w:pPr>
      <w:r>
        <w:rPr>
          <w:rFonts w:ascii="Arial" w:cs="Arial" w:eastAsia="Arial" w:hAnsi="Arial"/>
          <w:color w:val="1A1A1A"/>
          <w:sz w:val="22"/>
          <w:szCs w:val="22"/>
        </w:rPr>
        <w:t xml:space="preserve">Includes:</w:t>
      </w:r>
    </w:p>
    <w:p>
      <w:pPr>
        <w:pStyle w:val="ListParagraph"/>
        <w:numPr>
          <w:ilvl w:val="0"/>
          <w:numId w:val="2"/>
        </w:numPr>
        <w:spacing w:after="40" w:before="40"/>
      </w:pPr>
      <w:r>
        <w:rPr>
          <w:rFonts w:ascii="Arial" w:cs="Arial" w:eastAsia="Arial" w:hAnsi="Arial"/>
          <w:color w:val="1A1A1A"/>
          <w:sz w:val="22"/>
          <w:szCs w:val="22"/>
        </w:rPr>
        <w:t xml:space="preserve">fraud, theft, dishonesty, or financial misconduct;</w:t>
      </w:r>
    </w:p>
    <w:p>
      <w:pPr>
        <w:pStyle w:val="ListParagraph"/>
        <w:numPr>
          <w:ilvl w:val="0"/>
          <w:numId w:val="2"/>
        </w:numPr>
        <w:spacing w:after="40" w:before="40"/>
      </w:pPr>
      <w:r>
        <w:rPr>
          <w:rFonts w:ascii="Arial" w:cs="Arial" w:eastAsia="Arial" w:hAnsi="Arial"/>
          <w:color w:val="1A1A1A"/>
          <w:sz w:val="22"/>
          <w:szCs w:val="22"/>
        </w:rPr>
        <w:t xml:space="preserve">deliberate disclosure of Confidential Information or User personal information;</w:t>
      </w:r>
    </w:p>
    <w:p>
      <w:pPr>
        <w:pStyle w:val="ListParagraph"/>
        <w:numPr>
          <w:ilvl w:val="0"/>
          <w:numId w:val="2"/>
        </w:numPr>
        <w:spacing w:after="40" w:before="40"/>
      </w:pPr>
      <w:r>
        <w:rPr>
          <w:rFonts w:ascii="Arial" w:cs="Arial" w:eastAsia="Arial" w:hAnsi="Arial"/>
          <w:color w:val="1A1A1A"/>
          <w:sz w:val="22"/>
          <w:szCs w:val="22"/>
        </w:rPr>
        <w:t xml:space="preserve">POPIA breach causing material harm;</w:t>
      </w:r>
    </w:p>
    <w:p>
      <w:pPr>
        <w:pStyle w:val="ListParagraph"/>
        <w:numPr>
          <w:ilvl w:val="0"/>
          <w:numId w:val="2"/>
        </w:numPr>
        <w:spacing w:after="40" w:before="40"/>
      </w:pPr>
      <w:r>
        <w:rPr>
          <w:rFonts w:ascii="Arial" w:cs="Arial" w:eastAsia="Arial" w:hAnsi="Arial"/>
          <w:color w:val="1A1A1A"/>
          <w:sz w:val="22"/>
          <w:szCs w:val="22"/>
        </w:rPr>
        <w:t xml:space="preserve">serious insubordination or wilful refusal to follow a lawful and reasonable instruction;</w:t>
      </w:r>
    </w:p>
    <w:p>
      <w:pPr>
        <w:pStyle w:val="ListParagraph"/>
        <w:numPr>
          <w:ilvl w:val="0"/>
          <w:numId w:val="2"/>
        </w:numPr>
        <w:spacing w:after="40" w:before="40"/>
      </w:pPr>
      <w:r>
        <w:rPr>
          <w:rFonts w:ascii="Arial" w:cs="Arial" w:eastAsia="Arial" w:hAnsi="Arial"/>
          <w:color w:val="1A1A1A"/>
          <w:sz w:val="22"/>
          <w:szCs w:val="22"/>
        </w:rPr>
        <w:t xml:space="preserve">assault, harassment, or intimidation in the workplace;</w:t>
      </w:r>
    </w:p>
    <w:p>
      <w:pPr>
        <w:pStyle w:val="ListParagraph"/>
        <w:numPr>
          <w:ilvl w:val="0"/>
          <w:numId w:val="2"/>
        </w:numPr>
        <w:spacing w:after="40" w:before="40"/>
      </w:pPr>
      <w:r>
        <w:rPr>
          <w:rFonts w:ascii="Arial" w:cs="Arial" w:eastAsia="Arial" w:hAnsi="Arial"/>
          <w:color w:val="1A1A1A"/>
          <w:sz w:val="22"/>
          <w:szCs w:val="22"/>
        </w:rPr>
        <w:t xml:space="preserve">deliberate damage to ANIMEX property or data;</w:t>
      </w:r>
    </w:p>
    <w:p>
      <w:pPr>
        <w:pStyle w:val="ListParagraph"/>
        <w:numPr>
          <w:ilvl w:val="0"/>
          <w:numId w:val="2"/>
        </w:numPr>
        <w:spacing w:after="40" w:before="40"/>
      </w:pPr>
      <w:r>
        <w:rPr>
          <w:rFonts w:ascii="Arial" w:cs="Arial" w:eastAsia="Arial" w:hAnsi="Arial"/>
          <w:color w:val="1A1A1A"/>
          <w:sz w:val="22"/>
          <w:szCs w:val="22"/>
        </w:rPr>
        <w:t xml:space="preserve">accepting bribes or corrupt gratification;</w:t>
      </w:r>
    </w:p>
    <w:p>
      <w:pPr>
        <w:pStyle w:val="ListParagraph"/>
        <w:numPr>
          <w:ilvl w:val="0"/>
          <w:numId w:val="2"/>
        </w:numPr>
        <w:spacing w:after="40" w:before="40"/>
      </w:pPr>
      <w:r>
        <w:rPr>
          <w:rFonts w:ascii="Arial" w:cs="Arial" w:eastAsia="Arial" w:hAnsi="Arial"/>
          <w:color w:val="1A1A1A"/>
          <w:sz w:val="22"/>
          <w:szCs w:val="22"/>
        </w:rPr>
        <w:t xml:space="preserve">gross negligence causing material harm to ANIMEX, Users, or Animals;</w:t>
      </w:r>
    </w:p>
    <w:p>
      <w:pPr>
        <w:pStyle w:val="ListParagraph"/>
        <w:numPr>
          <w:ilvl w:val="0"/>
          <w:numId w:val="2"/>
        </w:numPr>
        <w:spacing w:after="40" w:before="40"/>
      </w:pPr>
      <w:r>
        <w:rPr>
          <w:rFonts w:ascii="Arial" w:cs="Arial" w:eastAsia="Arial" w:hAnsi="Arial"/>
          <w:color w:val="1A1A1A"/>
          <w:sz w:val="22"/>
          <w:szCs w:val="22"/>
        </w:rPr>
        <w:t xml:space="preserve">operating under the influence of alcohol or drugs while on duty;</w:t>
      </w:r>
    </w:p>
    <w:p>
      <w:pPr>
        <w:pStyle w:val="ListParagraph"/>
        <w:numPr>
          <w:ilvl w:val="0"/>
          <w:numId w:val="2"/>
        </w:numPr>
        <w:spacing w:after="40" w:before="40"/>
      </w:pPr>
      <w:r>
        <w:rPr>
          <w:rFonts w:ascii="Arial" w:cs="Arial" w:eastAsia="Arial" w:hAnsi="Arial"/>
          <w:color w:val="1A1A1A"/>
          <w:sz w:val="22"/>
          <w:szCs w:val="22"/>
        </w:rPr>
        <w:t xml:space="preserve">serious misuse of Platform access (overriding controls, suppressing audit logs, misusing User data);</w:t>
      </w:r>
    </w:p>
    <w:p>
      <w:pPr>
        <w:pStyle w:val="ListParagraph"/>
        <w:numPr>
          <w:ilvl w:val="0"/>
          <w:numId w:val="2"/>
        </w:numPr>
        <w:spacing w:after="40" w:before="40"/>
      </w:pPr>
      <w:r>
        <w:rPr>
          <w:rFonts w:ascii="Arial" w:cs="Arial" w:eastAsia="Arial" w:hAnsi="Arial"/>
          <w:color w:val="1A1A1A"/>
          <w:sz w:val="22"/>
          <w:szCs w:val="22"/>
        </w:rPr>
        <w:t xml:space="preserve">any conduct constituting a criminal offence directly impacting ANIMEX, its Users, or Animals.</w:t>
      </w:r>
    </w:p>
    <w:p>
      <w:pPr>
        <w:pStyle w:val="Heading2"/>
        <w:spacing w:after="120" w:before="280"/>
      </w:pPr>
      <w:r>
        <w:rPr>
          <w:rFonts w:ascii="Arial" w:cs="Arial" w:eastAsia="Arial" w:hAnsi="Arial"/>
          <w:b/>
          <w:bCs/>
          <w:color w:val="1A1A1A"/>
          <w:sz w:val="26"/>
          <w:szCs w:val="26"/>
        </w:rPr>
        <w:t xml:space="preserve">6.4  Disciplinary Process</w:t>
      </w:r>
    </w:p>
    <w:p>
      <w:pPr>
        <w:pStyle w:val="ListParagraph"/>
        <w:numPr>
          <w:ilvl w:val="0"/>
          <w:numId w:val="3"/>
        </w:numPr>
        <w:spacing w:after="40" w:before="40"/>
      </w:pPr>
      <w:r>
        <w:rPr>
          <w:rFonts w:ascii="Arial" w:cs="Arial" w:eastAsia="Arial" w:hAnsi="Arial"/>
          <w:color w:val="1A1A1A"/>
          <w:sz w:val="22"/>
          <w:szCs w:val="22"/>
        </w:rPr>
        <w:t xml:space="preserve">Investigation: Manager or nominated investigator establishes the facts. Employee may not be precluded from work during investigation unless necessary (with pay).</w:t>
      </w:r>
    </w:p>
    <w:p>
      <w:pPr>
        <w:pStyle w:val="ListParagraph"/>
        <w:numPr>
          <w:ilvl w:val="0"/>
          <w:numId w:val="3"/>
        </w:numPr>
        <w:spacing w:after="40" w:before="40"/>
      </w:pPr>
      <w:r>
        <w:rPr>
          <w:rFonts w:ascii="Arial" w:cs="Arial" w:eastAsia="Arial" w:hAnsi="Arial"/>
          <w:color w:val="1A1A1A"/>
          <w:sz w:val="22"/>
          <w:szCs w:val="22"/>
        </w:rPr>
        <w:t>Notice: Employee receives written notice of the disciplinary hearing with at least 48 hours' notice - stating the charges, date, time, place, and right to representation.</w:t>
      </w:r>
    </w:p>
    <w:p>
      <w:pPr>
        <w:pStyle w:val="ListParagraph"/>
        <w:numPr>
          <w:ilvl w:val="0"/>
          <w:numId w:val="3"/>
        </w:numPr>
        <w:spacing w:after="40" w:before="40"/>
      </w:pPr>
      <w:r>
        <w:rPr>
          <w:rFonts w:ascii="Arial" w:cs="Arial" w:eastAsia="Arial" w:hAnsi="Arial"/>
          <w:color w:val="1A1A1A"/>
          <w:sz w:val="22"/>
          <w:szCs w:val="22"/>
        </w:rPr>
        <w:t xml:space="preserve">Hearing: Chaired by a person not involved in the investigation. Employee presents their case. Employee may be represented by a ANIMEX colleague, trade union representative, or adviser (not an external legal practitioner, unless ANIMEX agrees).</w:t>
      </w:r>
    </w:p>
    <w:p>
      <w:pPr>
        <w:pStyle w:val="ListParagraph"/>
        <w:numPr>
          <w:ilvl w:val="0"/>
          <w:numId w:val="3"/>
        </w:numPr>
        <w:spacing w:after="40" w:before="40"/>
      </w:pPr>
      <w:r>
        <w:rPr>
          <w:rFonts w:ascii="Arial" w:cs="Arial" w:eastAsia="Arial" w:hAnsi="Arial"/>
          <w:color w:val="1A1A1A"/>
          <w:sz w:val="22"/>
          <w:szCs w:val="22"/>
        </w:rPr>
        <w:t xml:space="preserve">Decision: Chairperson considers evidence and makes a finding of guilty or not guilty. If guilty, an appropriate sanction is imposed.</w:t>
      </w:r>
    </w:p>
    <w:p>
      <w:pPr>
        <w:pStyle w:val="ListParagraph"/>
        <w:numPr>
          <w:ilvl w:val="0"/>
          <w:numId w:val="3"/>
        </w:numPr>
        <w:spacing w:after="40" w:before="40"/>
      </w:pPr>
      <w:r>
        <w:rPr>
          <w:rFonts w:ascii="Arial" w:cs="Arial" w:eastAsia="Arial" w:hAnsi="Arial"/>
          <w:color w:val="1A1A1A"/>
          <w:sz w:val="22"/>
          <w:szCs w:val="22"/>
        </w:rPr>
        <w:t xml:space="preserve">Outcome: Employee receives the outcome in writing with reasons. Employee is advised of their right to appeal.</w:t>
      </w:r>
    </w:p>
    <w:p>
      <w:pPr>
        <w:pStyle w:val="ListParagraph"/>
        <w:numPr>
          <w:ilvl w:val="0"/>
          <w:numId w:val="3"/>
        </w:numPr>
        <w:spacing w:after="40" w:before="40"/>
      </w:pPr>
      <w:r>
        <w:rPr>
          <w:rFonts w:ascii="Arial" w:cs="Arial" w:eastAsia="Arial" w:hAnsi="Arial"/>
          <w:color w:val="1A1A1A"/>
          <w:sz w:val="22"/>
          <w:szCs w:val="22"/>
        </w:rPr>
        <w:t>Appeal: Employee may appeal within 5 business days to a more senior person. Appeal outcome is final at the internal level.</w:t>
      </w:r>
    </w:p>
    <w:p>
      <w:pPr>
        <w:spacing w:after="80" w:before="80"/>
      </w:pPr>
      <w:r>
        <w:rPr>
          <w:rFonts w:ascii="Arial" w:cs="Arial" w:eastAsia="Arial" w:hAnsi="Arial"/>
          <w:color w:val="1A1A1A"/>
          <w:sz w:val="22"/>
          <w:szCs w:val="22"/>
        </w:rPr>
        <w:t xml:space="preserve">All disciplinary proceedings must be documented and retained in the employee's file for the duration of employment and 5 (five) years thereafter.</w:t>
      </w:r>
    </w:p>
    <w:p>
      <w:pPr>
        <w:pStyle w:val="Heading2"/>
        <w:spacing w:after="120" w:before="280"/>
      </w:pPr>
      <w:r>
        <w:rPr>
          <w:rFonts w:ascii="Arial" w:cs="Arial" w:eastAsia="Arial" w:hAnsi="Arial"/>
          <w:b/>
          <w:bCs/>
          <w:color w:val="1A1A1A"/>
          <w:sz w:val="26"/>
          <w:szCs w:val="26"/>
        </w:rPr>
        <w:t xml:space="preserve">6.5  External Recourse</w:t>
      </w:r>
    </w:p>
    <w:p>
      <w:pPr>
        <w:spacing w:after="80" w:before="80"/>
      </w:pPr>
      <w:r>
        <w:rPr>
          <w:rFonts w:ascii="Arial" w:cs="Arial" w:eastAsia="Arial" w:hAnsi="Arial"/>
          <w:color w:val="1A1A1A"/>
          <w:sz w:val="22"/>
          <w:szCs w:val="22"/>
        </w:rPr>
        <w:t xml:space="preserve">An employee who believes a dismissal or disciplinary sanction is unfair may refer the dispute to the CCMA or applicable Bargaining Council within 30 (thirty) calendar days of the dismissal or sanction.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Grievance Procedure</w:t>
      </w:r>
    </w:p>
    <w:p>
      <w:pPr>
        <w:pStyle w:val="Heading2"/>
        <w:spacing w:after="120" w:before="280"/>
      </w:pPr>
      <w:r>
        <w:rPr>
          <w:rFonts w:ascii="Arial" w:cs="Arial" w:eastAsia="Arial" w:hAnsi="Arial"/>
          <w:b/>
          <w:bCs/>
          <w:color w:val="1A1A1A"/>
          <w:sz w:val="26"/>
          <w:szCs w:val="26"/>
        </w:rPr>
        <w:t xml:space="preserve">7.1  Purpose</w:t>
      </w:r>
    </w:p>
    <w:p>
      <w:pPr>
        <w:spacing w:after="80" w:before="80"/>
      </w:pPr>
      <w:r>
        <w:rPr>
          <w:rFonts w:ascii="Arial" w:cs="Arial" w:eastAsia="Arial" w:hAnsi="Arial"/>
          <w:color w:val="1A1A1A"/>
          <w:sz w:val="22"/>
          <w:szCs w:val="22"/>
        </w:rPr>
        <w:t xml:space="preserve">This procedure provides a mechanism for ANIMEX Staff to raise genuine workplace concerns, disputes, or grievances in a fair, timely, and confidential manner, in compliance with the LRA and Code of Good Practice.</w:t>
      </w:r>
    </w:p>
    <w:p>
      <w:pPr>
        <w:pStyle w:val="Heading2"/>
        <w:spacing w:after="120" w:before="280"/>
      </w:pPr>
      <w:r>
        <w:rPr>
          <w:rFonts w:ascii="Arial" w:cs="Arial" w:eastAsia="Arial" w:hAnsi="Arial"/>
          <w:b/>
          <w:bCs/>
          <w:color w:val="1A1A1A"/>
          <w:sz w:val="26"/>
          <w:szCs w:val="26"/>
        </w:rPr>
        <w:t xml:space="preserve">7.2  What Constitutes a Grievance</w:t>
      </w:r>
    </w:p>
    <w:p>
      <w:pPr>
        <w:spacing w:after="80" w:before="80"/>
      </w:pPr>
      <w:r>
        <w:rPr>
          <w:rFonts w:ascii="Arial" w:cs="Arial" w:eastAsia="Arial" w:hAnsi="Arial"/>
          <w:color w:val="1A1A1A"/>
          <w:sz w:val="22"/>
          <w:szCs w:val="22"/>
        </w:rPr>
        <w:t xml:space="preserve">A grievance is any genuine concern or complaint that an employee has about their employment conditions, management conduct, workplace treatment, policy application, interpersonal conflict, discrimination, harassment, or working environment. A grievance does not include a complaint about a disciplinary sanction (which is handled by the disciplinary appeal process).</w:t>
      </w:r>
    </w:p>
    <w:p>
      <w:pPr>
        <w:pStyle w:val="Heading2"/>
        <w:spacing w:after="120" w:before="280"/>
      </w:pPr>
      <w:r>
        <w:rPr>
          <w:rFonts w:ascii="Arial" w:cs="Arial" w:eastAsia="Arial" w:hAnsi="Arial"/>
          <w:b/>
          <w:bCs/>
          <w:color w:val="1A1A1A"/>
          <w:sz w:val="26"/>
          <w:szCs w:val="26"/>
        </w:rPr>
        <w:t xml:space="preserve">7.3  Informal Resolution</w:t>
      </w:r>
    </w:p>
    <w:p>
      <w:pPr>
        <w:spacing w:after="80" w:before="80"/>
      </w:pPr>
      <w:r>
        <w:rPr>
          <w:rFonts w:ascii="Arial" w:cs="Arial" w:eastAsia="Arial" w:hAnsi="Arial"/>
          <w:color w:val="1A1A1A"/>
          <w:sz w:val="22"/>
          <w:szCs w:val="22"/>
        </w:rPr>
        <w:t xml:space="preserve">Employees are encouraged to first raise concerns informally with their direct manager. Many workplace concerns can be resolved quickly through direct conversation. ANIMEX expects managers to take informal concerns seriously and to respond constructively.</w:t>
      </w:r>
    </w:p>
    <w:p>
      <w:pPr>
        <w:pStyle w:val="Heading2"/>
        <w:spacing w:after="120" w:before="280"/>
      </w:pPr>
      <w:r>
        <w:rPr>
          <w:rFonts w:ascii="Arial" w:cs="Arial" w:eastAsia="Arial" w:hAnsi="Arial"/>
          <w:b/>
          <w:bCs/>
          <w:color w:val="1A1A1A"/>
          <w:sz w:val="26"/>
          <w:szCs w:val="26"/>
        </w:rPr>
        <w:t xml:space="preserve">7.4  Formal Grievance Process</w:t>
      </w:r>
    </w:p>
    <w:p>
      <w:pPr>
        <w:pStyle w:val="ListParagraph"/>
        <w:numPr>
          <w:ilvl w:val="0"/>
          <w:numId w:val="3"/>
        </w:numPr>
        <w:spacing w:after="40" w:before="40"/>
      </w:pPr>
      <w:r>
        <w:rPr>
          <w:rFonts w:ascii="Arial" w:cs="Arial" w:eastAsia="Arial" w:hAnsi="Arial"/>
          <w:color w:val="1A1A1A"/>
          <w:sz w:val="22"/>
          <w:szCs w:val="22"/>
        </w:rPr>
        <w:t xml:space="preserve">Employee submits a written grievance to their direct manager or, where the grievance involves the manager, to the CEO. The grievance must describe the concern and the resolution sought.</w:t>
      </w:r>
    </w:p>
    <w:p>
      <w:pPr>
        <w:pStyle w:val="ListParagraph"/>
        <w:numPr>
          <w:ilvl w:val="0"/>
          <w:numId w:val="3"/>
        </w:numPr>
        <w:spacing w:after="40" w:before="40"/>
      </w:pPr>
      <w:r>
        <w:rPr>
          <w:rFonts w:ascii="Arial" w:cs="Arial" w:eastAsia="Arial" w:hAnsi="Arial"/>
          <w:color w:val="1A1A1A"/>
          <w:sz w:val="22"/>
          <w:szCs w:val="22"/>
        </w:rPr>
        <w:t xml:space="preserve">Acknowledgement within 2 (two) business days.</w:t>
      </w:r>
    </w:p>
    <w:p>
      <w:pPr>
        <w:pStyle w:val="ListParagraph"/>
        <w:numPr>
          <w:ilvl w:val="0"/>
          <w:numId w:val="3"/>
        </w:numPr>
        <w:spacing w:after="40" w:before="40"/>
      </w:pPr>
      <w:r>
        <w:rPr>
          <w:rFonts w:ascii="Arial" w:cs="Arial" w:eastAsia="Arial" w:hAnsi="Arial"/>
          <w:color w:val="1A1A1A"/>
          <w:sz w:val="22"/>
          <w:szCs w:val="22"/>
        </w:rPr>
        <w:t xml:space="preserve">Manager or CEO investigates, including meeting with the employee to discuss the grievance. The employee may be accompanied by a colleague or trade union representative.</w:t>
      </w:r>
    </w:p>
    <w:p>
      <w:pPr>
        <w:pStyle w:val="ListParagraph"/>
        <w:numPr>
          <w:ilvl w:val="0"/>
          <w:numId w:val="3"/>
        </w:numPr>
        <w:spacing w:after="40" w:before="40"/>
      </w:pPr>
      <w:r>
        <w:rPr>
          <w:rFonts w:ascii="Arial" w:cs="Arial" w:eastAsia="Arial" w:hAnsi="Arial"/>
          <w:color w:val="1A1A1A"/>
          <w:sz w:val="22"/>
          <w:szCs w:val="22"/>
        </w:rPr>
        <w:t>Written outcome communicated within 10 business days of the formal grievance being submitted.</w:t>
      </w:r>
    </w:p>
    <w:p>
      <w:pPr>
        <w:pStyle w:val="ListParagraph"/>
        <w:numPr>
          <w:ilvl w:val="0"/>
          <w:numId w:val="3"/>
        </w:numPr>
        <w:spacing w:after="40" w:before="40"/>
      </w:pPr>
      <w:r>
        <w:rPr>
          <w:rFonts w:ascii="Arial" w:cs="Arial" w:eastAsia="Arial" w:hAnsi="Arial"/>
          <w:color w:val="1A1A1A"/>
          <w:sz w:val="22"/>
          <w:szCs w:val="22"/>
        </w:rPr>
        <w:t>If the employee is not satisfied, they may escalate to the CEO (or to the Board, if the grievance involves the CEO) within 5 business days.</w:t>
      </w:r>
    </w:p>
    <w:p>
      <w:pPr>
        <w:pStyle w:val="ListParagraph"/>
        <w:numPr>
          <w:ilvl w:val="0"/>
          <w:numId w:val="3"/>
        </w:numPr>
        <w:spacing w:after="40" w:before="40"/>
      </w:pPr>
      <w:r>
        <w:rPr>
          <w:rFonts w:ascii="Arial" w:cs="Arial" w:eastAsia="Arial" w:hAnsi="Arial"/>
          <w:color w:val="1A1A1A"/>
          <w:sz w:val="22"/>
          <w:szCs w:val="22"/>
        </w:rPr>
        <w:t>Final internal outcome communicated within 10 business days of escalation.</w:t>
      </w:r>
    </w:p>
    <w:p>
      <w:pPr>
        <w:pStyle w:val="Heading2"/>
        <w:spacing w:after="120" w:before="280"/>
      </w:pPr>
      <w:r>
        <w:rPr>
          <w:rFonts w:ascii="Arial" w:cs="Arial" w:eastAsia="Arial" w:hAnsi="Arial"/>
          <w:b/>
          <w:bCs/>
          <w:color w:val="1A1A1A"/>
          <w:sz w:val="26"/>
          <w:szCs w:val="26"/>
        </w:rPr>
        <w:t xml:space="preserve">7.5  External Recourse</w:t>
      </w:r>
    </w:p>
    <w:p>
      <w:pPr>
        <w:spacing w:after="80" w:before="80"/>
      </w:pPr>
      <w:r>
        <w:rPr>
          <w:rFonts w:ascii="Arial" w:cs="Arial" w:eastAsia="Arial" w:hAnsi="Arial"/>
          <w:color w:val="1A1A1A"/>
          <w:sz w:val="22"/>
          <w:szCs w:val="22"/>
        </w:rPr>
        <w:t xml:space="preserve">If the grievance is not resolved internally, the employee may refer the matter to the CCMA or applicable Bargaining Council, or to any other body with jurisdiction (e.g., the Commission for Gender Equality for harassment matters; the Department of Employment and Labour for safety concerns).</w:t>
      </w:r>
    </w:p>
    <w:p>
      <w:pPr>
        <w:pStyle w:val="Heading2"/>
        <w:spacing w:after="120" w:before="280"/>
      </w:pPr>
      <w:r>
        <w:rPr>
          <w:rFonts w:ascii="Arial" w:cs="Arial" w:eastAsia="Arial" w:hAnsi="Arial"/>
          <w:b/>
          <w:bCs/>
          <w:color w:val="1A1A1A"/>
          <w:sz w:val="26"/>
          <w:szCs w:val="26"/>
        </w:rPr>
        <w:t xml:space="preserve">7.6  Confidentiality and Non-Retaliation</w:t>
      </w:r>
    </w:p>
    <w:p>
      <w:pPr>
        <w:spacing w:after="80" w:before="80"/>
      </w:pPr>
      <w:r>
        <w:rPr>
          <w:rFonts w:ascii="Arial" w:cs="Arial" w:eastAsia="Arial" w:hAnsi="Arial"/>
          <w:color w:val="1A1A1A"/>
          <w:sz w:val="22"/>
          <w:szCs w:val="22"/>
        </w:rPr>
        <w:t xml:space="preserve">All grievances are treated confidentially. Retaliation against any employee for raising a grievance in good faith is a serious disciplinary offence and will not be tolerated.</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8.  Equity and Non-Discrimination Policy</w:t>
      </w:r>
    </w:p>
    <w:p>
      <w:pPr>
        <w:pStyle w:val="Heading2"/>
        <w:spacing w:after="120" w:before="280"/>
      </w:pPr>
      <w:r>
        <w:rPr>
          <w:rFonts w:ascii="Arial" w:cs="Arial" w:eastAsia="Arial" w:hAnsi="Arial"/>
          <w:b/>
          <w:bCs/>
          <w:color w:val="1A1A1A"/>
          <w:sz w:val="26"/>
          <w:szCs w:val="26"/>
        </w:rPr>
        <w:t xml:space="preserve">8.1  Commitment</w:t>
      </w:r>
    </w:p>
    <w:p>
      <w:pPr>
        <w:spacing w:after="80" w:before="80"/>
      </w:pPr>
      <w:r>
        <w:rPr>
          <w:rFonts w:ascii="Arial" w:cs="Arial" w:eastAsia="Arial" w:hAnsi="Arial"/>
          <w:color w:val="1A1A1A"/>
          <w:sz w:val="22"/>
          <w:szCs w:val="22"/>
        </w:rPr>
        <w:t xml:space="preserve">ANIMEX is committed to equal opportunity, fair treatment, and non-discrimination in all employment, engagement, and Platform operations. This commitment is grounded in the Constitution of the Republic of South Africa, 1996, the Employment Equity Act 55 of 1998 (EEA), the Promotion of Equality and Prevention of Unfair Discrimination Act 4 of 2000 (PEPUDA), and the Labour Relations Act.</w:t>
      </w:r>
    </w:p>
    <w:p>
      <w:pPr>
        <w:pStyle w:val="Heading2"/>
        <w:spacing w:after="120" w:before="280"/>
      </w:pPr>
      <w:r>
        <w:rPr>
          <w:rFonts w:ascii="Arial" w:cs="Arial" w:eastAsia="Arial" w:hAnsi="Arial"/>
          <w:b/>
          <w:bCs/>
          <w:color w:val="1A1A1A"/>
          <w:sz w:val="26"/>
          <w:szCs w:val="26"/>
        </w:rPr>
        <w:t xml:space="preserve">8.2  Prohibited Discrimination</w:t>
      </w:r>
    </w:p>
    <w:p>
      <w:pPr>
        <w:spacing w:after="80" w:before="80"/>
      </w:pPr>
      <w:r>
        <w:rPr>
          <w:rFonts w:ascii="Arial" w:cs="Arial" w:eastAsia="Arial" w:hAnsi="Arial"/>
          <w:color w:val="1A1A1A"/>
          <w:sz w:val="22"/>
          <w:szCs w:val="22"/>
        </w:rPr>
        <w:t>ANIMEX prohibits unfair discrimination in employment decisions - including hiring, promotion, training, remuneration, discipline, and termination - on any arbitrary ground, including:</w:t>
      </w:r>
    </w:p>
    <w:p>
      <w:pPr>
        <w:pStyle w:val="ListParagraph"/>
        <w:numPr>
          <w:ilvl w:val="0"/>
          <w:numId w:val="2"/>
        </w:numPr>
        <w:spacing w:after="40" w:before="40"/>
      </w:pPr>
      <w:r>
        <w:rPr>
          <w:rFonts w:ascii="Arial" w:cs="Arial" w:eastAsia="Arial" w:hAnsi="Arial"/>
          <w:color w:val="1A1A1A"/>
          <w:sz w:val="22"/>
          <w:szCs w:val="22"/>
        </w:rPr>
        <w:t xml:space="preserve">race, gender, sex, pregnancy, marital status;</w:t>
      </w:r>
    </w:p>
    <w:p>
      <w:pPr>
        <w:pStyle w:val="ListParagraph"/>
        <w:numPr>
          <w:ilvl w:val="0"/>
          <w:numId w:val="2"/>
        </w:numPr>
        <w:spacing w:after="40" w:before="40"/>
      </w:pPr>
      <w:r>
        <w:rPr>
          <w:rFonts w:ascii="Arial" w:cs="Arial" w:eastAsia="Arial" w:hAnsi="Arial"/>
          <w:color w:val="1A1A1A"/>
          <w:sz w:val="22"/>
          <w:szCs w:val="22"/>
        </w:rPr>
        <w:t xml:space="preserve">family responsibility, HIV/AIDS status, disability;</w:t>
      </w:r>
    </w:p>
    <w:p>
      <w:pPr>
        <w:pStyle w:val="ListParagraph"/>
        <w:numPr>
          <w:ilvl w:val="0"/>
          <w:numId w:val="2"/>
        </w:numPr>
        <w:spacing w:after="40" w:before="40"/>
      </w:pPr>
      <w:r>
        <w:rPr>
          <w:rFonts w:ascii="Arial" w:cs="Arial" w:eastAsia="Arial" w:hAnsi="Arial"/>
          <w:color w:val="1A1A1A"/>
          <w:sz w:val="22"/>
          <w:szCs w:val="22"/>
        </w:rPr>
        <w:t xml:space="preserve">religion, conscience, belief, culture, or language;</w:t>
      </w:r>
    </w:p>
    <w:p>
      <w:pPr>
        <w:pStyle w:val="ListParagraph"/>
        <w:numPr>
          <w:ilvl w:val="0"/>
          <w:numId w:val="2"/>
        </w:numPr>
        <w:spacing w:after="40" w:before="40"/>
      </w:pPr>
      <w:r>
        <w:rPr>
          <w:rFonts w:ascii="Arial" w:cs="Arial" w:eastAsia="Arial" w:hAnsi="Arial"/>
          <w:color w:val="1A1A1A"/>
          <w:sz w:val="22"/>
          <w:szCs w:val="22"/>
        </w:rPr>
        <w:t xml:space="preserve">sexual orientation or gender identity;</w:t>
      </w:r>
    </w:p>
    <w:p>
      <w:pPr>
        <w:pStyle w:val="ListParagraph"/>
        <w:numPr>
          <w:ilvl w:val="0"/>
          <w:numId w:val="2"/>
        </w:numPr>
        <w:spacing w:after="40" w:before="40"/>
      </w:pPr>
      <w:r>
        <w:rPr>
          <w:rFonts w:ascii="Arial" w:cs="Arial" w:eastAsia="Arial" w:hAnsi="Arial"/>
          <w:color w:val="1A1A1A"/>
          <w:sz w:val="22"/>
          <w:szCs w:val="22"/>
        </w:rPr>
        <w:t xml:space="preserve">political opinion;</w:t>
      </w:r>
    </w:p>
    <w:p>
      <w:pPr>
        <w:pStyle w:val="ListParagraph"/>
        <w:numPr>
          <w:ilvl w:val="0"/>
          <w:numId w:val="2"/>
        </w:numPr>
        <w:spacing w:after="40" w:before="40"/>
      </w:pPr>
      <w:r>
        <w:rPr>
          <w:rFonts w:ascii="Arial" w:cs="Arial" w:eastAsia="Arial" w:hAnsi="Arial"/>
          <w:color w:val="1A1A1A"/>
          <w:sz w:val="22"/>
          <w:szCs w:val="22"/>
        </w:rPr>
        <w:t xml:space="preserve">age (except where age is an inherent requirement of the job or permitted by law);</w:t>
      </w:r>
    </w:p>
    <w:p>
      <w:pPr>
        <w:pStyle w:val="ListParagraph"/>
        <w:numPr>
          <w:ilvl w:val="0"/>
          <w:numId w:val="2"/>
        </w:numPr>
        <w:spacing w:after="40" w:before="40"/>
      </w:pPr>
      <w:r>
        <w:rPr>
          <w:rFonts w:ascii="Arial" w:cs="Arial" w:eastAsia="Arial" w:hAnsi="Arial"/>
          <w:color w:val="1A1A1A"/>
          <w:sz w:val="22"/>
          <w:szCs w:val="22"/>
        </w:rPr>
        <w:t xml:space="preserve">any other ground recognised under the EEA or PEPUDA.</w:t>
      </w:r>
    </w:p>
    <w:p>
      <w:pPr>
        <w:pStyle w:val="Heading2"/>
        <w:spacing w:after="120" w:before="280"/>
      </w:pPr>
      <w:r>
        <w:rPr>
          <w:rFonts w:ascii="Arial" w:cs="Arial" w:eastAsia="Arial" w:hAnsi="Arial"/>
          <w:b/>
          <w:bCs/>
          <w:color w:val="1A1A1A"/>
          <w:sz w:val="26"/>
          <w:szCs w:val="26"/>
        </w:rPr>
        <w:t xml:space="preserve">8.3  Harassment</w:t>
      </w:r>
    </w:p>
    <w:p>
      <w:pPr>
        <w:spacing w:after="80" w:before="80"/>
      </w:pPr>
      <w:r>
        <w:rPr>
          <w:rFonts w:ascii="Arial" w:cs="Arial" w:eastAsia="Arial" w:hAnsi="Arial"/>
          <w:color w:val="1A1A1A"/>
          <w:sz w:val="22"/>
          <w:szCs w:val="22"/>
        </w:rPr>
        <w:t xml:space="preserve">ANIMEX has zero tolerance for any form of workplace harassment, including sexual harassment, racial harassment, and any conduct that creates a hostile, degrading, or offensive work environment. ANIMEX's Sexual Harassment Policy is incorporated by reference and available from the Information Officer on request.</w:t>
      </w:r>
    </w:p>
    <w:p>
      <w:pPr>
        <w:pStyle w:val="Heading2"/>
        <w:spacing w:after="120" w:before="280"/>
      </w:pPr>
      <w:r>
        <w:rPr>
          <w:rFonts w:ascii="Arial" w:cs="Arial" w:eastAsia="Arial" w:hAnsi="Arial"/>
          <w:b/>
          <w:bCs/>
          <w:color w:val="1A1A1A"/>
          <w:sz w:val="26"/>
          <w:szCs w:val="26"/>
        </w:rPr>
        <w:t xml:space="preserve">8.4  Employment Equity Plan</w:t>
      </w:r>
    </w:p>
    <w:p>
      <w:pPr>
        <w:shd w:fill="EEF4FB" w:val="clear"/>
        <w:spacing w:after="80" w:before="80"/>
        <w:ind w:left="360" w:right="360"/>
      </w:pPr>
      <w:r>
        <w:rPr>
          <w:rFonts w:ascii="Arial" w:cs="Arial" w:eastAsia="Arial" w:hAnsi="Arial"/>
          <w:i/>
          <w:iCs/>
          <w:color w:val="2F5496"/>
          <w:sz w:val="20"/>
          <w:szCs w:val="20"/>
        </w:rPr>
        <w:t xml:space="preserve">INTERNAL NOTE: Where ANIMEX qualifies as a designated employer under the EEA (employing 50 or more employees, or with annual turnover above the applicable sector threshold), ANIMEX must prepare an Employment Equity Plan, conduct an EEA analysis, and submit annual Employment Equity Reports to the Department of Employment and Labour. ANIMEX must seek employment equity advice as the team grows.</w:t>
      </w:r>
    </w:p>
    <w:p>
      <w:pPr>
        <w:pStyle w:val="Heading2"/>
        <w:spacing w:after="120" w:before="280"/>
      </w:pPr>
      <w:r>
        <w:rPr>
          <w:rFonts w:ascii="Arial" w:cs="Arial" w:eastAsia="Arial" w:hAnsi="Arial"/>
          <w:b/>
          <w:bCs/>
          <w:color w:val="1A1A1A"/>
          <w:sz w:val="26"/>
          <w:szCs w:val="26"/>
        </w:rPr>
        <w:t xml:space="preserve">8.5  Reporting Discrimination or Harassment</w:t>
      </w:r>
    </w:p>
    <w:p>
      <w:pPr>
        <w:spacing w:after="80" w:before="80"/>
      </w:pPr>
      <w:r>
        <w:rPr>
          <w:rFonts w:ascii="Arial" w:cs="Arial" w:eastAsia="Arial" w:hAnsi="Arial"/>
          <w:color w:val="1A1A1A"/>
          <w:sz w:val="22"/>
          <w:szCs w:val="22"/>
        </w:rPr>
        <w:t xml:space="preserve">Staff who experience or witness discrimination or harassment must report this to the CEO, Information Officer, or through the Whistleblower channel (Compliance Pack, Section 7). Grievances about discrimination or harassment are handled under the Grievance Procedure (this pack, Section 7). External referrals may be made to the CCMA, Commission for Gender Equality, or the Equality Court under PEPUDA.</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Employment &amp; HR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labour attorney review before implementation.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HR controls</w:t>
      </w:r>
    </w:p>
    <w:p>
      <w:r>
        <w:rPr>
          <w:b/>
          <w:sz w:val="26"/>
        </w:rPr>
        <w:t>Webapp alignment - HR controls</w:t>
      </w:r>
    </w:p>
    <w:p>
      <w:r>
        <w:t>- HR templates align to the operational reality of a webapp with Control Room staff, support agents, developers, finance/compliance roles, auditors, and external contractors.</w:t>
      </w:r>
    </w:p>
    <w:p>
      <w:r>
        <w:t>- Employee names, job titles, salaries, payroll date, office/remote arrangement, expense thresholds, benefit schedules, and contractor statements of work were not present in the app ZIP and remain template fields.</w:t>
      </w:r>
    </w:p>
    <w:p>
      <w:r>
        <w:t>- BCEA leave wording was corrected to statutory framing. Final employment contracts, restraints, contractor classification, disciplinary procedure, and expense tax treatment require South African labour-law and tax review before use.</w:t>
      </w:r>
    </w:p>
    <w:p>
      <w:r>
        <w:t>- Staff access and conduct obligations cross-reference the Admin/Staff AUP, Technical Security Pack, Data Breach Response Plan, Anti-Bribery Policy, and Conflicts of Interest Policy.</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2026-05-11T19:22:36.746Z</dcterms:created>
  <dcterms:modified xsi:type="dcterms:W3CDTF">2026-05-11T19:22:36.747Z</dcterms:modified>
  <dc:title>ANIMEX Employment HR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