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jc w:val="center"/>
      </w:pPr>
      <w:r>
        <w:rPr>
          <w:rFonts w:ascii="Arial" w:cs="Arial" w:eastAsia="Arial" w:hAnsi="Arial"/>
          <w:b/>
          <w:bCs/>
          <w:color w:val="1F4E79"/>
          <w:sz w:val="72"/>
          <w:szCs w:val="72"/>
        </w:rPr>
        <w:t xml:space="preserve">ANIMEX</w:t>
      </w:r>
    </w:p>
    <w:p>
      <w:pPr>
        <w:spacing w:after="80" w:before="0"/>
        <w:jc w:val="center"/>
      </w:pPr>
      <w:r>
        <w:rPr>
          <w:rFonts w:ascii="Arial" w:cs="Arial" w:eastAsia="Arial" w:hAnsi="Arial"/>
          <w:b/>
          <w:bCs/>
          <w:color w:val="1A1A1A"/>
          <w:sz w:val="40"/>
          <w:szCs w:val="40"/>
        </w:rPr>
        <w:t xml:space="preserve">COMPLIANCE PACK</w:t>
      </w:r>
    </w:p>
    <w:p>
      <w:pPr>
        <w:spacing w:after="60" w:before="0"/>
        <w:jc w:val="center"/>
      </w:pPr>
      <w:r>
        <w:rPr>
          <w:rFonts w:ascii="Arial" w:cs="Arial" w:eastAsia="Arial" w:hAnsi="Arial"/>
          <w:i/>
          <w:iCs/>
          <w:color w:val="595959"/>
          <w:sz w:val="22"/>
          <w:szCs w:val="22"/>
        </w:rPr>
        <w:t xml:space="preserve">DPA · POPIA Procedures · Account Deletion · Admin AUP · Breach Response · FICA/AML · Whistleblower</w:t>
      </w:r>
    </w:p>
    <w:p>
      <w:pPr>
        <w:spacing w:after="60" w:before="0"/>
        <w:jc w:val="center"/>
      </w:pPr>
      <w:r>
        <w:rPr>
          <w:rFonts w:ascii="Arial" w:cs="Arial" w:eastAsia="Arial" w:hAnsi="Arial"/>
          <w:color w:val="595959"/>
          <w:sz w:val="20"/>
          <w:szCs w:val="20"/>
        </w:rPr>
        <w:t>animexofficial.co.za  |  Version 4.0  |  Effective Date: Pending approval/publication</w:t>
      </w:r>
    </w:p>
    <w:p>
      <w:pPr>
        <w:shd w:fill="FFF2CC" w:val="clear"/>
        <w:spacing w:after="80" w:before="80"/>
        <w:ind w:left="360" w:right="360"/>
      </w:pPr>
      <w:r>
        <w:rPr>
          <w:rFonts w:ascii="Arial" w:cs="Arial" w:eastAsia="Arial" w:hAnsi="Arial"/>
          <w:b/>
          <w:bCs/>
          <w:color w:val="7F6000"/>
          <w:sz w:val="20"/>
          <w:szCs w:val="20"/>
        </w:rPr>
        <w:t>ACTION REQUIRED: This Version 4.0 webapp-aligned draft must be approved through ANIMEX's legal, tax, security, and Control Room terms-versioning workflow before public use or contract execution.</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1.  Data Processing Agreement (DPA)</w:t>
      </w:r>
    </w:p>
    <w:p>
      <w:pPr>
        <w:spacing w:after="80" w:before="80"/>
      </w:pPr>
      <w:r>
        <w:rPr>
          <w:rFonts w:ascii="Arial" w:cs="Arial" w:eastAsia="Arial" w:hAnsi="Arial"/>
          <w:color w:val="1A1A1A"/>
          <w:sz w:val="22"/>
          <w:szCs w:val="22"/>
        </w:rPr>
        <w:t>This Data Processing Agreement ("DPA") is entered into between ANIMEX (Pty) Ltd ("ANIMEX"), as responsible party, and the service provider or operator identified in the applicable service agreement ("Operator").</w:t>
      </w:r>
    </w:p>
    <w:p>
      <w:pPr>
        <w:spacing w:after="80" w:before="80"/>
      </w:pPr>
      <w:r>
        <w:rPr>
          <w:rFonts w:ascii="Arial" w:cs="Arial" w:eastAsia="Arial" w:hAnsi="Arial"/>
          <w:color w:val="1A1A1A"/>
          <w:sz w:val="22"/>
          <w:szCs w:val="22"/>
        </w:rPr>
        <w:t xml:space="preserve">This DPA governs the processing of personal information by the Operator on behalf of ANIMEX, in accordance with section 21 of POPIA.</w:t>
      </w:r>
    </w:p>
    <w:p>
      <w:pPr>
        <w:pStyle w:val="Heading2"/>
        <w:spacing w:after="120" w:before="280"/>
      </w:pPr>
      <w:r>
        <w:rPr>
          <w:rFonts w:ascii="Arial" w:cs="Arial" w:eastAsia="Arial" w:hAnsi="Arial"/>
          <w:b/>
          <w:bCs/>
          <w:color w:val="1A1A1A"/>
          <w:sz w:val="26"/>
          <w:szCs w:val="26"/>
        </w:rPr>
        <w:t xml:space="preserve">1.1  Definitions</w:t>
      </w:r>
    </w:p>
    <w:p>
      <w:pPr>
        <w:spacing w:after="80" w:before="80"/>
      </w:pPr>
      <w:r>
        <w:rPr>
          <w:rFonts w:ascii="Arial" w:cs="Arial" w:eastAsia="Arial" w:hAnsi="Arial"/>
          <w:color w:val="1A1A1A"/>
          <w:sz w:val="22"/>
          <w:szCs w:val="22"/>
        </w:rPr>
        <w:t xml:space="preserve">Terms in this DPA have the meanings given in POPIA and the ANIMEX Core Legal and Policy Pack. "Personal Information" means personal information as defined in POPIA, processed in connection with the services rendered by the Operator to ANIMEX.</w:t>
      </w:r>
    </w:p>
    <w:p>
      <w:pPr>
        <w:pStyle w:val="Heading2"/>
        <w:spacing w:after="120" w:before="280"/>
      </w:pPr>
      <w:r>
        <w:rPr>
          <w:rFonts w:ascii="Arial" w:cs="Arial" w:eastAsia="Arial" w:hAnsi="Arial"/>
          <w:b/>
          <w:bCs/>
          <w:color w:val="1A1A1A"/>
          <w:sz w:val="26"/>
          <w:szCs w:val="26"/>
        </w:rPr>
        <w:t xml:space="preserve">1.2  Scope and Purpose</w:t>
      </w:r>
    </w:p>
    <w:p>
      <w:pPr>
        <w:spacing w:after="80" w:before="80"/>
      </w:pPr>
      <w:r>
        <w:rPr>
          <w:rFonts w:ascii="Arial" w:cs="Arial" w:eastAsia="Arial" w:hAnsi="Arial"/>
          <w:color w:val="1A1A1A"/>
          <w:sz w:val="22"/>
          <w:szCs w:val="22"/>
        </w:rPr>
        <w:t xml:space="preserve">The Operator processes Personal Information only:</w:t>
      </w:r>
    </w:p>
    <w:p>
      <w:pPr>
        <w:pStyle w:val="ListParagraph"/>
        <w:numPr>
          <w:ilvl w:val="0"/>
          <w:numId w:val="2"/>
        </w:numPr>
        <w:spacing w:after="40" w:before="40"/>
      </w:pPr>
      <w:r>
        <w:rPr>
          <w:rFonts w:ascii="Arial" w:cs="Arial" w:eastAsia="Arial" w:hAnsi="Arial"/>
          <w:color w:val="1A1A1A"/>
          <w:sz w:val="22"/>
          <w:szCs w:val="22"/>
        </w:rPr>
        <w:t xml:space="preserve">on ANIMEX's documented instructions;</w:t>
      </w:r>
    </w:p>
    <w:p>
      <w:pPr>
        <w:pStyle w:val="ListParagraph"/>
        <w:numPr>
          <w:ilvl w:val="0"/>
          <w:numId w:val="2"/>
        </w:numPr>
        <w:spacing w:after="40" w:before="40"/>
      </w:pPr>
      <w:r>
        <w:rPr>
          <w:rFonts w:ascii="Arial" w:cs="Arial" w:eastAsia="Arial" w:hAnsi="Arial"/>
          <w:color w:val="1A1A1A"/>
          <w:sz w:val="22"/>
          <w:szCs w:val="22"/>
        </w:rPr>
        <w:t xml:space="preserve">for the purposes described in the applicable service agreement;</w:t>
      </w:r>
    </w:p>
    <w:p>
      <w:pPr>
        <w:pStyle w:val="ListParagraph"/>
        <w:numPr>
          <w:ilvl w:val="0"/>
          <w:numId w:val="2"/>
        </w:numPr>
        <w:spacing w:after="40" w:before="40"/>
      </w:pPr>
      <w:r>
        <w:rPr>
          <w:rFonts w:ascii="Arial" w:cs="Arial" w:eastAsia="Arial" w:hAnsi="Arial"/>
          <w:color w:val="1A1A1A"/>
          <w:sz w:val="22"/>
          <w:szCs w:val="22"/>
        </w:rPr>
        <w:t xml:space="preserve">to the extent strictly necessary to provide the agreed services.</w:t>
      </w:r>
    </w:p>
    <w:p>
      <w:pPr>
        <w:spacing w:after="80" w:before="80"/>
      </w:pPr>
      <w:r>
        <w:rPr>
          <w:rFonts w:ascii="Arial" w:cs="Arial" w:eastAsia="Arial" w:hAnsi="Arial"/>
          <w:color w:val="1A1A1A"/>
          <w:sz w:val="22"/>
          <w:szCs w:val="22"/>
        </w:rPr>
        <w:t xml:space="preserve">The Operator may not process Personal Information for its own purposes, for direct marketing, for profiling, or for any purpose not authorised by ANIMEX in writing.</w:t>
      </w:r>
    </w:p>
    <w:p>
      <w:pPr>
        <w:pStyle w:val="Heading2"/>
        <w:spacing w:after="120" w:before="280"/>
      </w:pPr>
      <w:r>
        <w:rPr>
          <w:rFonts w:ascii="Arial" w:cs="Arial" w:eastAsia="Arial" w:hAnsi="Arial"/>
          <w:b/>
          <w:bCs/>
          <w:color w:val="1A1A1A"/>
          <w:sz w:val="26"/>
          <w:szCs w:val="26"/>
        </w:rPr>
        <w:t xml:space="preserve">1.3  Operator Obligations under Section 21 of POPIA</w:t>
      </w:r>
    </w:p>
    <w:p>
      <w:pPr>
        <w:spacing w:after="80" w:before="80"/>
      </w:pPr>
      <w:r>
        <w:rPr>
          <w:rFonts w:ascii="Arial" w:cs="Arial" w:eastAsia="Arial" w:hAnsi="Arial"/>
          <w:color w:val="1A1A1A"/>
          <w:sz w:val="22"/>
          <w:szCs w:val="22"/>
        </w:rPr>
        <w:t xml:space="preserve">The Operator must:</w:t>
      </w:r>
    </w:p>
    <w:p>
      <w:pPr>
        <w:pStyle w:val="ListParagraph"/>
        <w:numPr>
          <w:ilvl w:val="0"/>
          <w:numId w:val="2"/>
        </w:numPr>
        <w:spacing w:after="40" w:before="40"/>
      </w:pPr>
      <w:r>
        <w:rPr>
          <w:rFonts w:ascii="Arial" w:cs="Arial" w:eastAsia="Arial" w:hAnsi="Arial"/>
          <w:color w:val="1A1A1A"/>
          <w:sz w:val="22"/>
          <w:szCs w:val="22"/>
        </w:rPr>
        <w:t xml:space="preserve">process Personal Information only in accordance with ANIMEX's written instructions and this DPA;</w:t>
      </w:r>
    </w:p>
    <w:p>
      <w:pPr>
        <w:pStyle w:val="ListParagraph"/>
        <w:numPr>
          <w:ilvl w:val="0"/>
          <w:numId w:val="2"/>
        </w:numPr>
        <w:spacing w:after="40" w:before="40"/>
      </w:pPr>
      <w:r>
        <w:rPr>
          <w:rFonts w:ascii="Arial" w:cs="Arial" w:eastAsia="Arial" w:hAnsi="Arial"/>
          <w:color w:val="1A1A1A"/>
          <w:sz w:val="22"/>
          <w:szCs w:val="22"/>
        </w:rPr>
        <w:t xml:space="preserve">implement appropriate technical and organisational security measures to protect Personal Information against loss, damage, destruction, unauthorised access, modification, or disclosure, as required by section 19 of POPIA;</w:t>
      </w:r>
    </w:p>
    <w:p>
      <w:pPr>
        <w:pStyle w:val="ListParagraph"/>
        <w:numPr>
          <w:ilvl w:val="0"/>
          <w:numId w:val="2"/>
        </w:numPr>
        <w:spacing w:after="40" w:before="40"/>
      </w:pPr>
      <w:r>
        <w:rPr>
          <w:rFonts w:ascii="Arial" w:cs="Arial" w:eastAsia="Arial" w:hAnsi="Arial"/>
          <w:color w:val="1A1A1A"/>
          <w:sz w:val="22"/>
          <w:szCs w:val="22"/>
        </w:rPr>
        <w:t xml:space="preserve">ensure that all persons authorised to process Personal Information are subject to binding confidentiality obligations;</w:t>
      </w:r>
    </w:p>
    <w:p>
      <w:pPr>
        <w:pStyle w:val="ListParagraph"/>
        <w:numPr>
          <w:ilvl w:val="0"/>
          <w:numId w:val="2"/>
        </w:numPr>
        <w:spacing w:after="40" w:before="40"/>
      </w:pPr>
      <w:r>
        <w:rPr>
          <w:rFonts w:ascii="Arial" w:cs="Arial" w:eastAsia="Arial" w:hAnsi="Arial"/>
          <w:color w:val="1A1A1A"/>
          <w:sz w:val="22"/>
          <w:szCs w:val="22"/>
        </w:rPr>
        <w:t xml:space="preserve">not engage any sub-operator to process Personal Information without ANIMEX's prior written approval;</w:t>
      </w:r>
    </w:p>
    <w:p>
      <w:pPr>
        <w:pStyle w:val="ListParagraph"/>
        <w:numPr>
          <w:ilvl w:val="0"/>
          <w:numId w:val="2"/>
        </w:numPr>
        <w:spacing w:after="40" w:before="40"/>
      </w:pPr>
      <w:r>
        <w:rPr>
          <w:rFonts w:ascii="Arial" w:cs="Arial" w:eastAsia="Arial" w:hAnsi="Arial"/>
          <w:color w:val="1A1A1A"/>
          <w:sz w:val="22"/>
          <w:szCs w:val="22"/>
        </w:rPr>
        <w:t xml:space="preserve">cooperate fully with ANIMEX in responding to data subject requests under POPIA;</w:t>
      </w:r>
    </w:p>
    <w:p>
      <w:pPr>
        <w:pStyle w:val="ListParagraph"/>
        <w:numPr>
          <w:ilvl w:val="0"/>
          <w:numId w:val="2"/>
        </w:numPr>
        <w:spacing w:after="40" w:before="40"/>
      </w:pPr>
      <w:r>
        <w:rPr>
          <w:rFonts w:ascii="Arial" w:cs="Arial" w:eastAsia="Arial" w:hAnsi="Arial"/>
          <w:color w:val="1A1A1A"/>
          <w:sz w:val="22"/>
          <w:szCs w:val="22"/>
        </w:rPr>
        <w:t xml:space="preserve">notify ANIMEX in writing within 24 (twenty-four) hours of becoming aware of any actual or suspected compromise, breach, or unauthorised access to Personal Information;</w:t>
      </w:r>
    </w:p>
    <w:p>
      <w:pPr>
        <w:pStyle w:val="ListParagraph"/>
        <w:numPr>
          <w:ilvl w:val="0"/>
          <w:numId w:val="2"/>
        </w:numPr>
        <w:spacing w:after="40" w:before="40"/>
      </w:pPr>
      <w:r>
        <w:rPr>
          <w:rFonts w:ascii="Arial" w:cs="Arial" w:eastAsia="Arial" w:hAnsi="Arial"/>
          <w:color w:val="1A1A1A"/>
          <w:sz w:val="22"/>
          <w:szCs w:val="22"/>
        </w:rPr>
        <w:t xml:space="preserve">not transfer Personal Information outside South Africa without ANIMEX's prior written consent and confirmation that appropriate safeguards are in place under section 72 of POPIA;</w:t>
      </w:r>
    </w:p>
    <w:p>
      <w:pPr>
        <w:pStyle w:val="ListParagraph"/>
        <w:numPr>
          <w:ilvl w:val="0"/>
          <w:numId w:val="2"/>
        </w:numPr>
        <w:spacing w:after="40" w:before="40"/>
      </w:pPr>
      <w:r>
        <w:rPr>
          <w:rFonts w:ascii="Arial" w:cs="Arial" w:eastAsia="Arial" w:hAnsi="Arial"/>
          <w:color w:val="1A1A1A"/>
          <w:sz w:val="22"/>
          <w:szCs w:val="22"/>
        </w:rPr>
        <w:t xml:space="preserve">on termination of the service agreement, promptly return or securely destroy all Personal Information in its possession, and confirm completion in writing within 10 (ten) business days.</w:t>
      </w:r>
    </w:p>
    <w:p>
      <w:pPr>
        <w:pStyle w:val="Heading2"/>
        <w:spacing w:after="120" w:before="280"/>
      </w:pPr>
      <w:r>
        <w:rPr>
          <w:rFonts w:ascii="Arial" w:cs="Arial" w:eastAsia="Arial" w:hAnsi="Arial"/>
          <w:b/>
          <w:bCs/>
          <w:color w:val="1A1A1A"/>
          <w:sz w:val="26"/>
          <w:szCs w:val="26"/>
        </w:rPr>
        <w:t xml:space="preserve">1.4  Sub-Operators</w:t>
      </w:r>
    </w:p>
    <w:p>
      <w:pPr>
        <w:spacing w:after="80" w:before="80"/>
      </w:pPr>
      <w:r>
        <w:rPr>
          <w:rFonts w:ascii="Arial" w:cs="Arial" w:eastAsia="Arial" w:hAnsi="Arial"/>
          <w:color w:val="1A1A1A"/>
          <w:sz w:val="22"/>
          <w:szCs w:val="22"/>
        </w:rPr>
        <w:t xml:space="preserve">The Operator may not appoint a sub-operator without ANIMEX's prior written approval. Where ANIMEX approves a sub-operator, the Operator must:</w:t>
      </w:r>
    </w:p>
    <w:p>
      <w:pPr>
        <w:pStyle w:val="ListParagraph"/>
        <w:numPr>
          <w:ilvl w:val="0"/>
          <w:numId w:val="2"/>
        </w:numPr>
        <w:spacing w:after="40" w:before="40"/>
      </w:pPr>
      <w:r>
        <w:rPr>
          <w:rFonts w:ascii="Arial" w:cs="Arial" w:eastAsia="Arial" w:hAnsi="Arial"/>
          <w:color w:val="1A1A1A"/>
          <w:sz w:val="22"/>
          <w:szCs w:val="22"/>
        </w:rPr>
        <w:t xml:space="preserve">impose equivalent data processing obligations on the sub-operator by written agreement;</w:t>
      </w:r>
    </w:p>
    <w:p>
      <w:pPr>
        <w:pStyle w:val="ListParagraph"/>
        <w:numPr>
          <w:ilvl w:val="0"/>
          <w:numId w:val="2"/>
        </w:numPr>
        <w:spacing w:after="40" w:before="40"/>
      </w:pPr>
      <w:r>
        <w:rPr>
          <w:rFonts w:ascii="Arial" w:cs="Arial" w:eastAsia="Arial" w:hAnsi="Arial"/>
          <w:color w:val="1A1A1A"/>
          <w:sz w:val="22"/>
          <w:szCs w:val="22"/>
        </w:rPr>
        <w:t xml:space="preserve">remain fully liable to ANIMEX for the sub-operator's compliance with those obligations;</w:t>
      </w:r>
    </w:p>
    <w:p>
      <w:pPr>
        <w:pStyle w:val="ListParagraph"/>
        <w:numPr>
          <w:ilvl w:val="0"/>
          <w:numId w:val="2"/>
        </w:numPr>
        <w:spacing w:after="40" w:before="40"/>
      </w:pPr>
      <w:r>
        <w:rPr>
          <w:rFonts w:ascii="Arial" w:cs="Arial" w:eastAsia="Arial" w:hAnsi="Arial"/>
          <w:color w:val="1A1A1A"/>
          <w:sz w:val="22"/>
          <w:szCs w:val="22"/>
        </w:rPr>
        <w:t xml:space="preserve">provide ANIMEX with the identity and contact details of all approved sub-operators on request.</w:t>
      </w:r>
    </w:p>
    <w:p>
      <w:pPr>
        <w:shd w:fill="EEF4FB" w:val="clear"/>
        <w:spacing w:after="80" w:before="80"/>
        <w:ind w:left="360" w:right="360"/>
      </w:pPr>
      <w:r>
        <w:rPr>
          <w:rFonts w:ascii="Arial" w:cs="Arial" w:eastAsia="Arial" w:hAnsi="Arial"/>
          <w:i/>
          <w:iCs/>
          <w:color w:val="2F5496"/>
          <w:sz w:val="20"/>
          <w:szCs w:val="20"/>
        </w:rPr>
        <w:t xml:space="preserve">INTERNAL NOTE: ANIMEX must maintain an approved sub-operator register. Any cloud infrastructure provider, analytics tool, CDN, email service provider, or identity verification provider processing ANIMEX User data qualifies as a sub-operator and must be covered by this DPA.</w:t>
      </w:r>
    </w:p>
    <w:p>
      <w:pPr>
        <w:pStyle w:val="Heading2"/>
        <w:spacing w:after="120" w:before="280"/>
      </w:pPr>
      <w:r>
        <w:rPr>
          <w:rFonts w:ascii="Arial" w:cs="Arial" w:eastAsia="Arial" w:hAnsi="Arial"/>
          <w:b/>
          <w:bCs/>
          <w:color w:val="1A1A1A"/>
          <w:sz w:val="26"/>
          <w:szCs w:val="26"/>
        </w:rPr>
        <w:t xml:space="preserve">1.5  Security Measures</w:t>
      </w:r>
    </w:p>
    <w:p>
      <w:pPr>
        <w:spacing w:after="80" w:before="80"/>
      </w:pPr>
      <w:r>
        <w:rPr>
          <w:rFonts w:ascii="Arial" w:cs="Arial" w:eastAsia="Arial" w:hAnsi="Arial"/>
          <w:color w:val="1A1A1A"/>
          <w:sz w:val="22"/>
          <w:szCs w:val="22"/>
        </w:rPr>
        <w:t xml:space="preserve">At a minimum, the Operator must implement:</w:t>
      </w:r>
    </w:p>
    <w:p>
      <w:pPr>
        <w:pStyle w:val="ListParagraph"/>
        <w:numPr>
          <w:ilvl w:val="0"/>
          <w:numId w:val="2"/>
        </w:numPr>
        <w:spacing w:after="40" w:before="40"/>
      </w:pPr>
      <w:r>
        <w:rPr>
          <w:rFonts w:ascii="Arial" w:cs="Arial" w:eastAsia="Arial" w:hAnsi="Arial"/>
          <w:color w:val="1A1A1A"/>
          <w:sz w:val="22"/>
          <w:szCs w:val="22"/>
        </w:rPr>
        <w:t xml:space="preserve">access controls (role-based, least-privilege, multi-factor authentication for privileged access);</w:t>
      </w:r>
    </w:p>
    <w:p>
      <w:pPr>
        <w:pStyle w:val="ListParagraph"/>
        <w:numPr>
          <w:ilvl w:val="0"/>
          <w:numId w:val="2"/>
        </w:numPr>
        <w:spacing w:after="40" w:before="40"/>
      </w:pPr>
      <w:r>
        <w:rPr>
          <w:rFonts w:ascii="Arial" w:cs="Arial" w:eastAsia="Arial" w:hAnsi="Arial"/>
          <w:color w:val="1A1A1A"/>
          <w:sz w:val="22"/>
          <w:szCs w:val="22"/>
        </w:rPr>
        <w:t xml:space="preserve">encryption of Personal Information at rest and in transit where reasonably practicable;</w:t>
      </w:r>
    </w:p>
    <w:p>
      <w:pPr>
        <w:pStyle w:val="ListParagraph"/>
        <w:numPr>
          <w:ilvl w:val="0"/>
          <w:numId w:val="2"/>
        </w:numPr>
        <w:spacing w:after="40" w:before="40"/>
      </w:pPr>
      <w:r>
        <w:rPr>
          <w:rFonts w:ascii="Arial" w:cs="Arial" w:eastAsia="Arial" w:hAnsi="Arial"/>
          <w:color w:val="1A1A1A"/>
          <w:sz w:val="22"/>
          <w:szCs w:val="22"/>
        </w:rPr>
        <w:t xml:space="preserve">vulnerability management, patching, and security monitoring;</w:t>
      </w:r>
    </w:p>
    <w:p>
      <w:pPr>
        <w:pStyle w:val="ListParagraph"/>
        <w:numPr>
          <w:ilvl w:val="0"/>
          <w:numId w:val="2"/>
        </w:numPr>
        <w:spacing w:after="40" w:before="40"/>
      </w:pPr>
      <w:r>
        <w:rPr>
          <w:rFonts w:ascii="Arial" w:cs="Arial" w:eastAsia="Arial" w:hAnsi="Arial"/>
          <w:color w:val="1A1A1A"/>
          <w:sz w:val="22"/>
          <w:szCs w:val="22"/>
        </w:rPr>
        <w:t xml:space="preserve">audit logging of access to and processing of Personal Information;</w:t>
      </w:r>
    </w:p>
    <w:p>
      <w:pPr>
        <w:pStyle w:val="ListParagraph"/>
        <w:numPr>
          <w:ilvl w:val="0"/>
          <w:numId w:val="2"/>
        </w:numPr>
        <w:spacing w:after="40" w:before="40"/>
      </w:pPr>
      <w:r>
        <w:rPr>
          <w:rFonts w:ascii="Arial" w:cs="Arial" w:eastAsia="Arial" w:hAnsi="Arial"/>
          <w:color w:val="1A1A1A"/>
          <w:sz w:val="22"/>
          <w:szCs w:val="22"/>
        </w:rPr>
        <w:t xml:space="preserve">physical security for any premises where Personal Information is stored;</w:t>
      </w:r>
    </w:p>
    <w:p>
      <w:pPr>
        <w:pStyle w:val="ListParagraph"/>
        <w:numPr>
          <w:ilvl w:val="0"/>
          <w:numId w:val="2"/>
        </w:numPr>
        <w:spacing w:after="40" w:before="40"/>
      </w:pPr>
      <w:r>
        <w:rPr>
          <w:rFonts w:ascii="Arial" w:cs="Arial" w:eastAsia="Arial" w:hAnsi="Arial"/>
          <w:color w:val="1A1A1A"/>
          <w:sz w:val="22"/>
          <w:szCs w:val="22"/>
        </w:rPr>
        <w:t xml:space="preserve">staff training on POPIA and data protection obligations;</w:t>
      </w:r>
    </w:p>
    <w:p>
      <w:pPr>
        <w:pStyle w:val="ListParagraph"/>
        <w:numPr>
          <w:ilvl w:val="0"/>
          <w:numId w:val="2"/>
        </w:numPr>
        <w:spacing w:after="40" w:before="40"/>
      </w:pPr>
      <w:r>
        <w:rPr>
          <w:rFonts w:ascii="Arial" w:cs="Arial" w:eastAsia="Arial" w:hAnsi="Arial"/>
          <w:color w:val="1A1A1A"/>
          <w:sz w:val="22"/>
          <w:szCs w:val="22"/>
        </w:rPr>
        <w:t xml:space="preserve">an incident response process capable of meeting the 24-hour notification obligation in clause 1.3.</w:t>
      </w:r>
    </w:p>
    <w:p>
      <w:pPr>
        <w:pStyle w:val="Heading2"/>
        <w:spacing w:after="120" w:before="280"/>
      </w:pPr>
      <w:r>
        <w:rPr>
          <w:rFonts w:ascii="Arial" w:cs="Arial" w:eastAsia="Arial" w:hAnsi="Arial"/>
          <w:b/>
          <w:bCs/>
          <w:color w:val="1A1A1A"/>
          <w:sz w:val="26"/>
          <w:szCs w:val="26"/>
        </w:rPr>
        <w:t xml:space="preserve">1.6  Data Subject Rights Assistance</w:t>
      </w:r>
    </w:p>
    <w:p>
      <w:pPr>
        <w:spacing w:after="80" w:before="80"/>
      </w:pPr>
      <w:r>
        <w:rPr>
          <w:rFonts w:ascii="Arial" w:cs="Arial" w:eastAsia="Arial" w:hAnsi="Arial"/>
          <w:color w:val="1A1A1A"/>
          <w:sz w:val="22"/>
          <w:szCs w:val="22"/>
        </w:rPr>
        <w:t xml:space="preserve">The Operator must provide ANIMEX with all information and assistance necessary to respond to data subject access, correction, deletion, objection, and complaint requests within 5 (five) business days of ANIMEX's request.</w:t>
      </w:r>
    </w:p>
    <w:p>
      <w:pPr>
        <w:pStyle w:val="Heading2"/>
        <w:spacing w:after="120" w:before="280"/>
      </w:pPr>
      <w:r>
        <w:rPr>
          <w:rFonts w:ascii="Arial" w:cs="Arial" w:eastAsia="Arial" w:hAnsi="Arial"/>
          <w:b/>
          <w:bCs/>
          <w:color w:val="1A1A1A"/>
          <w:sz w:val="26"/>
          <w:szCs w:val="26"/>
        </w:rPr>
        <w:t xml:space="preserve">1.7  Audit Rights</w:t>
      </w:r>
    </w:p>
    <w:p>
      <w:pPr>
        <w:spacing w:after="80" w:before="80"/>
      </w:pPr>
      <w:r>
        <w:rPr>
          <w:rFonts w:ascii="Arial" w:cs="Arial" w:eastAsia="Arial" w:hAnsi="Arial"/>
          <w:color w:val="1A1A1A"/>
          <w:sz w:val="22"/>
          <w:szCs w:val="22"/>
        </w:rPr>
        <w:t xml:space="preserve">ANIMEX may, on 10 (ten) business days' written notice (or immediately in the event of a suspected breach), conduct or commission an audit of the Operator's compliance with this DPA. The Operator must cooperate fully and provide access to relevant records, systems, and personnel.</w:t>
      </w:r>
    </w:p>
    <w:p>
      <w:pPr>
        <w:pStyle w:val="Heading2"/>
        <w:spacing w:after="120" w:before="280"/>
      </w:pPr>
      <w:r>
        <w:rPr>
          <w:rFonts w:ascii="Arial" w:cs="Arial" w:eastAsia="Arial" w:hAnsi="Arial"/>
          <w:b/>
          <w:bCs/>
          <w:color w:val="1A1A1A"/>
          <w:sz w:val="26"/>
          <w:szCs w:val="26"/>
        </w:rPr>
        <w:t xml:space="preserve">1.8  Liability</w:t>
      </w:r>
    </w:p>
    <w:p>
      <w:pPr>
        <w:spacing w:after="80" w:before="80"/>
      </w:pPr>
      <w:r>
        <w:rPr>
          <w:rFonts w:ascii="Arial" w:cs="Arial" w:eastAsia="Arial" w:hAnsi="Arial"/>
          <w:color w:val="1A1A1A"/>
          <w:sz w:val="22"/>
          <w:szCs w:val="22"/>
        </w:rPr>
        <w:t xml:space="preserve">The Operator is liable to ANIMEX for any loss, claim, regulatory fine, penalty, or damage arising from the Operator's breach of this DPA, POPIA, or ANIMEX's processing instructions. This liability supplements and does not replace the Operator's obligations under the applicable service agreement.</w:t>
      </w:r>
    </w:p>
    <w:p>
      <w:pPr>
        <w:pStyle w:val="Heading2"/>
        <w:spacing w:after="120" w:before="280"/>
      </w:pPr>
      <w:r>
        <w:rPr>
          <w:rFonts w:ascii="Arial" w:cs="Arial" w:eastAsia="Arial" w:hAnsi="Arial"/>
          <w:b/>
          <w:bCs/>
          <w:color w:val="1A1A1A"/>
          <w:sz w:val="26"/>
          <w:szCs w:val="26"/>
        </w:rPr>
        <w:t xml:space="preserve">1.9  Term and Survival</w:t>
      </w:r>
    </w:p>
    <w:p>
      <w:pPr>
        <w:spacing w:after="80" w:before="80"/>
      </w:pPr>
      <w:r>
        <w:rPr>
          <w:rFonts w:ascii="Arial" w:cs="Arial" w:eastAsia="Arial" w:hAnsi="Arial"/>
          <w:color w:val="1A1A1A"/>
          <w:sz w:val="22"/>
          <w:szCs w:val="22"/>
        </w:rPr>
        <w:t xml:space="preserve">This DPA continues for the duration of the applicable service agreement and survives termination in respect of any Personal Information still held by the Operator and destruction obligations. Confidentiality obligations survive indefinitely.</w:t>
      </w:r>
    </w:p>
    <w:p>
      <w:pPr>
        <w:pStyle w:val="Heading2"/>
        <w:spacing w:after="120" w:before="280"/>
      </w:pPr>
      <w:r>
        <w:rPr>
          <w:rFonts w:ascii="Arial" w:cs="Arial" w:eastAsia="Arial" w:hAnsi="Arial"/>
          <w:b/>
          <w:bCs/>
          <w:color w:val="1A1A1A"/>
          <w:sz w:val="26"/>
          <w:szCs w:val="26"/>
        </w:rPr>
        <w:t xml:space="preserve">1.10  Governing Law</w:t>
      </w:r>
    </w:p>
    <w:p>
      <w:pPr>
        <w:spacing w:after="80" w:before="80"/>
      </w:pPr>
      <w:r>
        <w:rPr>
          <w:rFonts w:ascii="Arial" w:cs="Arial" w:eastAsia="Arial" w:hAnsi="Arial"/>
          <w:color w:val="1A1A1A"/>
          <w:sz w:val="22"/>
          <w:szCs w:val="22"/>
        </w:rPr>
        <w:t xml:space="preserve">This DPA is governed by South African law and the jurisdiction clause in the applicable service agreement.</w:t>
      </w:r>
    </w:p>
    <w:p>
      <w:pPr>
        <w:pStyle w:val="Heading2"/>
        <w:spacing w:after="120" w:before="280"/>
      </w:pPr>
      <w:r>
        <w:rPr>
          <w:rFonts w:ascii="Arial" w:cs="Arial" w:eastAsia="Arial" w:hAnsi="Arial"/>
          <w:b/>
          <w:bCs/>
          <w:color w:val="1A1A1A"/>
          <w:sz w:val="26"/>
          <w:szCs w:val="26"/>
        </w:rPr>
        <w:t xml:space="preserve">1.11  Execution</w:t>
      </w:r>
    </w:p>
    <w:p>
      <w:pPr>
        <w:spacing w:after="60" w:before="60"/>
      </w:pPr>
      <w:r>
        <w:t xml:space="preserve"/>
      </w:r>
    </w:p>
    <w:p>
      <w:pPr>
        <w:spacing w:after="80" w:before="80"/>
      </w:pPr>
      <w:r>
        <w:rPr>
          <w:rFonts w:ascii="Arial" w:cs="Arial" w:eastAsia="Arial" w:hAnsi="Arial"/>
          <w:color w:val="1A1A1A"/>
          <w:sz w:val="22"/>
          <w:szCs w:val="22"/>
        </w:rPr>
        <w:t xml:space="preserve">For ANIMEX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spacing w:after="80" w:before="80"/>
      </w:pPr>
      <w:r>
        <w:rPr>
          <w:rFonts w:ascii="Arial" w:cs="Arial" w:eastAsia="Arial" w:hAnsi="Arial"/>
          <w:color w:val="1A1A1A"/>
          <w:sz w:val="22"/>
          <w:szCs w:val="22"/>
        </w:rPr>
        <w:t xml:space="preserve">For the Operator (authorised signatory):</w:t>
      </w:r>
    </w:p>
    <w:p>
      <w:pPr>
        <w:spacing w:after="80" w:before="80"/>
      </w:pPr>
      <w:r>
        <w:rPr>
          <w:rFonts w:ascii="Arial" w:cs="Arial" w:eastAsia="Arial" w:hAnsi="Arial"/>
          <w:color w:val="1A1A1A"/>
          <w:sz w:val="22"/>
          <w:szCs w:val="22"/>
        </w:rPr>
        <w:t xml:space="preserve">Signature:  ___________________________________</w:t>
      </w:r>
    </w:p>
    <w:p>
      <w:pPr>
        <w:spacing w:after="80" w:before="80"/>
      </w:pPr>
      <w:r>
        <w:rPr>
          <w:rFonts w:ascii="Arial" w:cs="Arial" w:eastAsia="Arial" w:hAnsi="Arial"/>
          <w:color w:val="1A1A1A"/>
          <w:sz w:val="22"/>
          <w:szCs w:val="22"/>
        </w:rPr>
        <w:t xml:space="preserve">Name (print):  ___________________________________</w:t>
      </w:r>
    </w:p>
    <w:p>
      <w:pPr>
        <w:spacing w:after="80" w:before="80"/>
      </w:pPr>
      <w:r>
        <w:rPr>
          <w:rFonts w:ascii="Arial" w:cs="Arial" w:eastAsia="Arial" w:hAnsi="Arial"/>
          <w:color w:val="1A1A1A"/>
          <w:sz w:val="22"/>
          <w:szCs w:val="22"/>
        </w:rPr>
        <w:t xml:space="preserve">Designation / Capacity:  ___________________________________</w:t>
      </w:r>
    </w:p>
    <w:p>
      <w:pPr>
        <w:spacing w:after="80" w:before="80"/>
      </w:pPr>
      <w:r>
        <w:rPr>
          <w:rFonts w:ascii="Arial" w:cs="Arial" w:eastAsia="Arial" w:hAnsi="Arial"/>
          <w:color w:val="1A1A1A"/>
          <w:sz w:val="22"/>
          <w:szCs w:val="22"/>
        </w:rPr>
        <w:t xml:space="preserve">Date:  ___________________________________</w:t>
      </w:r>
    </w:p>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2.  POPIA Data Subject Rights Procedure</w:t>
      </w:r>
    </w:p>
    <w:p>
      <w:pPr>
        <w:spacing w:after="80" w:before="80"/>
      </w:pPr>
      <w:r>
        <w:rPr>
          <w:rFonts w:ascii="Arial" w:cs="Arial" w:eastAsia="Arial" w:hAnsi="Arial"/>
          <w:color w:val="1A1A1A"/>
          <w:sz w:val="22"/>
          <w:szCs w:val="22"/>
        </w:rPr>
        <w:t xml:space="preserve">This procedure sets out how ANIMEX processes requests from data subjects exercising their rights under POPIA, including rights of access, correction, deletion, objection, restriction, and consent withdrawal.</w:t>
      </w:r>
    </w:p>
    <w:p>
      <w:pPr>
        <w:pStyle w:val="Heading2"/>
        <w:spacing w:after="120" w:before="280"/>
      </w:pPr>
      <w:r>
        <w:rPr>
          <w:rFonts w:ascii="Arial" w:cs="Arial" w:eastAsia="Arial" w:hAnsi="Arial"/>
          <w:b/>
          <w:bCs/>
          <w:color w:val="1A1A1A"/>
          <w:sz w:val="26"/>
          <w:szCs w:val="26"/>
        </w:rPr>
        <w:t xml:space="preserve">2.1  Applicable Rights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Right</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Right of access (s23)</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 confirmation that ANIMEX holds personal information and receive a description and copy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Right to correction (s24)</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 correction of inaccurate, incomplete, misleading, or out-of-date personal information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Right to deletion (s24)</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 deletion or destruction of personal information where processing is no longer authorised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Right to object (s11(3))</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Object to processing of personal information on grounds relating to the data subject's particular situation, where processing is based on legitimate interest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Withdrawal of consent (s11(1)(a))</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Withdraw consent at any time where consent is the lawful basis for processing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Right to complain (s23, s74)</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Lodge a complaint with ANIMEX or the Information Regulator</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2.2  How to Submit a Request</w:t>
      </w:r>
    </w:p>
    <w:p>
      <w:pPr>
        <w:spacing w:after="80" w:before="80"/>
      </w:pPr>
      <w:r>
        <w:rPr>
          <w:rFonts w:ascii="Arial" w:cs="Arial" w:eastAsia="Arial" w:hAnsi="Arial"/>
          <w:color w:val="1A1A1A"/>
          <w:sz w:val="22"/>
          <w:szCs w:val="22"/>
        </w:rPr>
        <w:t xml:space="preserve">Data subjects may submit requests:</w:t>
      </w:r>
    </w:p>
    <w:p>
      <w:pPr>
        <w:pStyle w:val="ListParagraph"/>
        <w:numPr>
          <w:ilvl w:val="0"/>
          <w:numId w:val="2"/>
        </w:numPr>
        <w:spacing w:after="40" w:before="40"/>
      </w:pPr>
      <w:r>
        <w:rPr>
          <w:rFonts w:ascii="Arial" w:cs="Arial" w:eastAsia="Arial" w:hAnsi="Arial"/>
          <w:color w:val="1A1A1A"/>
          <w:sz w:val="22"/>
          <w:szCs w:val="22"/>
        </w:rPr>
        <w:t>by email to info@animexofficial.co.za with subject line "POPIA Data Subject Request";</w:t>
      </w:r>
    </w:p>
    <w:p>
      <w:pPr>
        <w:pStyle w:val="ListParagraph"/>
        <w:numPr>
          <w:ilvl w:val="0"/>
          <w:numId w:val="2"/>
        </w:numPr>
        <w:spacing w:after="40" w:before="40"/>
      </w:pPr>
      <w:r>
        <w:rPr>
          <w:rFonts w:ascii="Arial" w:cs="Arial" w:eastAsia="Arial" w:hAnsi="Arial"/>
          <w:color w:val="1A1A1A"/>
          <w:sz w:val="22"/>
          <w:szCs w:val="22"/>
        </w:rPr>
        <w:t xml:space="preserve">through the in-app account settings where an automated request tool is available;</w:t>
      </w:r>
    </w:p>
    <w:p>
      <w:pPr>
        <w:pStyle w:val="ListParagraph"/>
        <w:numPr>
          <w:ilvl w:val="0"/>
          <w:numId w:val="2"/>
        </w:numPr>
        <w:spacing w:after="40" w:before="40"/>
      </w:pPr>
      <w:r>
        <w:rPr>
          <w:rFonts w:ascii="Arial" w:cs="Arial" w:eastAsia="Arial" w:hAnsi="Arial"/>
          <w:color w:val="1A1A1A"/>
          <w:sz w:val="22"/>
          <w:szCs w:val="22"/>
        </w:rPr>
        <w:t>in writing to ANIMEX's Information Officer at 37 8th Avenue, Houghton, Gauteng, 2198, South Africa.</w:t>
      </w:r>
    </w:p>
    <w:p>
      <w:pPr>
        <w:spacing w:after="80" w:before="80"/>
      </w:pPr>
      <w:r>
        <w:rPr>
          <w:rFonts w:ascii="Arial" w:cs="Arial" w:eastAsia="Arial" w:hAnsi="Arial"/>
          <w:color w:val="1A1A1A"/>
          <w:sz w:val="22"/>
          <w:szCs w:val="22"/>
        </w:rPr>
        <w:t xml:space="preserve">Requests must include: full name; verified identity (copy of ID or other identifying document); description of the specific right being exercised; and, for access requests, sufficient detail to identify the personal information sought.</w:t>
      </w:r>
    </w:p>
    <w:p>
      <w:pPr>
        <w:pStyle w:val="Heading2"/>
        <w:spacing w:after="120" w:before="280"/>
      </w:pPr>
      <w:r>
        <w:rPr>
          <w:rFonts w:ascii="Arial" w:cs="Arial" w:eastAsia="Arial" w:hAnsi="Arial"/>
          <w:b/>
          <w:bCs/>
          <w:color w:val="1A1A1A"/>
          <w:sz w:val="26"/>
          <w:szCs w:val="26"/>
        </w:rPr>
        <w:t xml:space="preserve">2.3  Identity Verification</w:t>
      </w:r>
    </w:p>
    <w:p>
      <w:pPr>
        <w:spacing w:after="80" w:before="80"/>
      </w:pPr>
      <w:r>
        <w:rPr>
          <w:rFonts w:ascii="Arial" w:cs="Arial" w:eastAsia="Arial" w:hAnsi="Arial"/>
          <w:color w:val="1A1A1A"/>
          <w:sz w:val="22"/>
          <w:szCs w:val="22"/>
        </w:rPr>
        <w:t xml:space="preserve">ANIMEX must verify the identity of the requesting party before processing any request. Verification may include: matching request details against the registered account; requesting a copy of identity document; requiring the request to be submitted from the registered email address; or, for high-risk requests, requesting additional authentication. ANIMEX will not process requests from unverified persons.</w:t>
      </w:r>
    </w:p>
    <w:p>
      <w:pPr>
        <w:pStyle w:val="Heading2"/>
        <w:spacing w:after="120" w:before="280"/>
      </w:pPr>
      <w:r>
        <w:rPr>
          <w:rFonts w:ascii="Arial" w:cs="Arial" w:eastAsia="Arial" w:hAnsi="Arial"/>
          <w:b/>
          <w:bCs/>
          <w:color w:val="1A1A1A"/>
          <w:sz w:val="26"/>
          <w:szCs w:val="26"/>
        </w:rPr>
        <w:t xml:space="preserve">2.4  Response Timelines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Timeline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Acknowledge receipt of request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3 business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Request additional information or clarification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5 business days if needed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Substantive response to the request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30 calendar days of receiving complete request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Extension (complex or large volume)</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Additional 30 calendar days with written notification to the data subject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Notification of refusal and reasons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30 calendar days, with information on escalation to Information Regulator</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2.5  Access Requests</w:t>
      </w:r>
    </w:p>
    <w:p>
      <w:pPr>
        <w:spacing w:after="80" w:before="80"/>
      </w:pPr>
      <w:r>
        <w:rPr>
          <w:rFonts w:ascii="Arial" w:cs="Arial" w:eastAsia="Arial" w:hAnsi="Arial"/>
          <w:color w:val="1A1A1A"/>
          <w:sz w:val="22"/>
          <w:szCs w:val="22"/>
        </w:rPr>
        <w:t xml:space="preserve">In response to an access request, ANIMEX will provide:</w:t>
      </w:r>
    </w:p>
    <w:p>
      <w:pPr>
        <w:pStyle w:val="ListParagraph"/>
        <w:numPr>
          <w:ilvl w:val="0"/>
          <w:numId w:val="2"/>
        </w:numPr>
        <w:spacing w:after="40" w:before="40"/>
      </w:pPr>
      <w:r>
        <w:rPr>
          <w:rFonts w:ascii="Arial" w:cs="Arial" w:eastAsia="Arial" w:hAnsi="Arial"/>
          <w:color w:val="1A1A1A"/>
          <w:sz w:val="22"/>
          <w:szCs w:val="22"/>
        </w:rPr>
        <w:t xml:space="preserve">confirmation of whether ANIMEX holds personal information about the requestor;</w:t>
      </w:r>
    </w:p>
    <w:p>
      <w:pPr>
        <w:pStyle w:val="ListParagraph"/>
        <w:numPr>
          <w:ilvl w:val="0"/>
          <w:numId w:val="2"/>
        </w:numPr>
        <w:spacing w:after="40" w:before="40"/>
      </w:pPr>
      <w:r>
        <w:rPr>
          <w:rFonts w:ascii="Arial" w:cs="Arial" w:eastAsia="Arial" w:hAnsi="Arial"/>
          <w:color w:val="1A1A1A"/>
          <w:sz w:val="22"/>
          <w:szCs w:val="22"/>
        </w:rPr>
        <w:t xml:space="preserve">a description of the categories of personal information held;</w:t>
      </w:r>
    </w:p>
    <w:p>
      <w:pPr>
        <w:pStyle w:val="ListParagraph"/>
        <w:numPr>
          <w:ilvl w:val="0"/>
          <w:numId w:val="2"/>
        </w:numPr>
        <w:spacing w:after="40" w:before="40"/>
      </w:pPr>
      <w:r>
        <w:rPr>
          <w:rFonts w:ascii="Arial" w:cs="Arial" w:eastAsia="Arial" w:hAnsi="Arial"/>
          <w:color w:val="1A1A1A"/>
          <w:sz w:val="22"/>
          <w:szCs w:val="22"/>
        </w:rPr>
        <w:t xml:space="preserve">a copy of the personal information in a reasonable format (PDF, CSV, or equivalent);</w:t>
      </w:r>
    </w:p>
    <w:p>
      <w:pPr>
        <w:pStyle w:val="ListParagraph"/>
        <w:numPr>
          <w:ilvl w:val="0"/>
          <w:numId w:val="2"/>
        </w:numPr>
        <w:spacing w:after="40" w:before="40"/>
      </w:pPr>
      <w:r>
        <w:rPr>
          <w:rFonts w:ascii="Arial" w:cs="Arial" w:eastAsia="Arial" w:hAnsi="Arial"/>
          <w:color w:val="1A1A1A"/>
          <w:sz w:val="22"/>
          <w:szCs w:val="22"/>
        </w:rPr>
        <w:t xml:space="preserve">information on the sources from which the personal information was collected;</w:t>
      </w:r>
    </w:p>
    <w:p>
      <w:pPr>
        <w:pStyle w:val="ListParagraph"/>
        <w:numPr>
          <w:ilvl w:val="0"/>
          <w:numId w:val="2"/>
        </w:numPr>
        <w:spacing w:after="40" w:before="40"/>
      </w:pPr>
      <w:r>
        <w:rPr>
          <w:rFonts w:ascii="Arial" w:cs="Arial" w:eastAsia="Arial" w:hAnsi="Arial"/>
          <w:color w:val="1A1A1A"/>
          <w:sz w:val="22"/>
          <w:szCs w:val="22"/>
        </w:rPr>
        <w:t xml:space="preserve">information on the purposes for which it is processed;</w:t>
      </w:r>
    </w:p>
    <w:p>
      <w:pPr>
        <w:pStyle w:val="ListParagraph"/>
        <w:numPr>
          <w:ilvl w:val="0"/>
          <w:numId w:val="2"/>
        </w:numPr>
        <w:spacing w:after="40" w:before="40"/>
      </w:pPr>
      <w:r>
        <w:rPr>
          <w:rFonts w:ascii="Arial" w:cs="Arial" w:eastAsia="Arial" w:hAnsi="Arial"/>
          <w:color w:val="1A1A1A"/>
          <w:sz w:val="22"/>
          <w:szCs w:val="22"/>
        </w:rPr>
        <w:t xml:space="preserve">information on third parties to whom it has been or may be disclosed.</w:t>
      </w:r>
    </w:p>
    <w:p>
      <w:pPr>
        <w:spacing w:after="80" w:before="80"/>
      </w:pPr>
      <w:r>
        <w:rPr>
          <w:rFonts w:ascii="Arial" w:cs="Arial" w:eastAsia="Arial" w:hAnsi="Arial"/>
          <w:color w:val="1A1A1A"/>
          <w:sz w:val="22"/>
          <w:szCs w:val="22"/>
        </w:rPr>
        <w:t xml:space="preserve">ANIMEX may charge a reasonable fee for access requests in accordance with the POPIA Regulations.</w:t>
      </w:r>
    </w:p>
    <w:p>
      <w:pPr>
        <w:pStyle w:val="Heading2"/>
        <w:spacing w:after="120" w:before="280"/>
      </w:pPr>
      <w:r>
        <w:rPr>
          <w:rFonts w:ascii="Arial" w:cs="Arial" w:eastAsia="Arial" w:hAnsi="Arial"/>
          <w:b/>
          <w:bCs/>
          <w:color w:val="1A1A1A"/>
          <w:sz w:val="26"/>
          <w:szCs w:val="26"/>
        </w:rPr>
        <w:t xml:space="preserve">2.6  Correction Requests</w:t>
      </w:r>
    </w:p>
    <w:p>
      <w:pPr>
        <w:spacing w:after="80" w:before="80"/>
      </w:pPr>
      <w:r>
        <w:rPr>
          <w:rFonts w:ascii="Arial" w:cs="Arial" w:eastAsia="Arial" w:hAnsi="Arial"/>
          <w:color w:val="1A1A1A"/>
          <w:sz w:val="22"/>
          <w:szCs w:val="22"/>
        </w:rPr>
        <w:t xml:space="preserve">Where a data subject demonstrates that personal information is inaccurate, incomplete, misleading, or out of date, ANIMEX will correct or supplement the information within the response period. ANIMEX will notify any third party to whom the incorrect information was previously disclosed.</w:t>
      </w:r>
    </w:p>
    <w:p>
      <w:pPr>
        <w:pStyle w:val="Heading2"/>
        <w:spacing w:after="120" w:before="280"/>
      </w:pPr>
      <w:r>
        <w:rPr>
          <w:rFonts w:ascii="Arial" w:cs="Arial" w:eastAsia="Arial" w:hAnsi="Arial"/>
          <w:b/>
          <w:bCs/>
          <w:color w:val="1A1A1A"/>
          <w:sz w:val="26"/>
          <w:szCs w:val="26"/>
        </w:rPr>
        <w:t xml:space="preserve">2.7  Deletion Requests</w:t>
      </w:r>
    </w:p>
    <w:p>
      <w:pPr>
        <w:spacing w:after="80" w:before="80"/>
      </w:pPr>
      <w:r>
        <w:rPr>
          <w:rFonts w:ascii="Arial" w:cs="Arial" w:eastAsia="Arial" w:hAnsi="Arial"/>
          <w:color w:val="1A1A1A"/>
          <w:sz w:val="22"/>
          <w:szCs w:val="22"/>
        </w:rPr>
        <w:t xml:space="preserve">ANIMEX will delete or de-identify personal information where:</w:t>
      </w:r>
    </w:p>
    <w:p>
      <w:pPr>
        <w:pStyle w:val="ListParagraph"/>
        <w:numPr>
          <w:ilvl w:val="0"/>
          <w:numId w:val="2"/>
        </w:numPr>
        <w:spacing w:after="40" w:before="40"/>
      </w:pPr>
      <w:r>
        <w:rPr>
          <w:rFonts w:ascii="Arial" w:cs="Arial" w:eastAsia="Arial" w:hAnsi="Arial"/>
          <w:color w:val="1A1A1A"/>
          <w:sz w:val="22"/>
          <w:szCs w:val="22"/>
        </w:rPr>
        <w:t xml:space="preserve">the purpose for which it was collected has been achieved and retention is no longer required;</w:t>
      </w:r>
    </w:p>
    <w:p>
      <w:pPr>
        <w:pStyle w:val="ListParagraph"/>
        <w:numPr>
          <w:ilvl w:val="0"/>
          <w:numId w:val="2"/>
        </w:numPr>
        <w:spacing w:after="40" w:before="40"/>
      </w:pPr>
      <w:r>
        <w:rPr>
          <w:rFonts w:ascii="Arial" w:cs="Arial" w:eastAsia="Arial" w:hAnsi="Arial"/>
          <w:color w:val="1A1A1A"/>
          <w:sz w:val="22"/>
          <w:szCs w:val="22"/>
        </w:rPr>
        <w:t xml:space="preserve">the data subject's consent has been withdrawn and no other lawful basis exists;</w:t>
      </w:r>
    </w:p>
    <w:p>
      <w:pPr>
        <w:pStyle w:val="ListParagraph"/>
        <w:numPr>
          <w:ilvl w:val="0"/>
          <w:numId w:val="2"/>
        </w:numPr>
        <w:spacing w:after="40" w:before="40"/>
      </w:pPr>
      <w:r>
        <w:rPr>
          <w:rFonts w:ascii="Arial" w:cs="Arial" w:eastAsia="Arial" w:hAnsi="Arial"/>
          <w:color w:val="1A1A1A"/>
          <w:sz w:val="22"/>
          <w:szCs w:val="22"/>
        </w:rPr>
        <w:t xml:space="preserve">processing is unlawful;</w:t>
      </w:r>
    </w:p>
    <w:p>
      <w:pPr>
        <w:pStyle w:val="ListParagraph"/>
        <w:numPr>
          <w:ilvl w:val="0"/>
          <w:numId w:val="2"/>
        </w:numPr>
        <w:spacing w:after="40" w:before="40"/>
      </w:pPr>
      <w:r>
        <w:rPr>
          <w:rFonts w:ascii="Arial" w:cs="Arial" w:eastAsia="Arial" w:hAnsi="Arial"/>
          <w:color w:val="1A1A1A"/>
          <w:sz w:val="22"/>
          <w:szCs w:val="22"/>
        </w:rPr>
        <w:t xml:space="preserve">deletion is required by applicable law.</w:t>
      </w:r>
    </w:p>
    <w:p>
      <w:pPr>
        <w:spacing w:after="80" w:before="80"/>
      </w:pPr>
      <w:r>
        <w:rPr>
          <w:rFonts w:ascii="Arial" w:cs="Arial" w:eastAsia="Arial" w:hAnsi="Arial"/>
          <w:color w:val="1A1A1A"/>
          <w:sz w:val="22"/>
          <w:szCs w:val="22"/>
        </w:rPr>
        <w:t xml:space="preserve">ANIMEX may refuse deletion where:</w:t>
      </w:r>
    </w:p>
    <w:p>
      <w:pPr>
        <w:pStyle w:val="ListParagraph"/>
        <w:numPr>
          <w:ilvl w:val="0"/>
          <w:numId w:val="2"/>
        </w:numPr>
        <w:spacing w:after="40" w:before="40"/>
      </w:pPr>
      <w:r>
        <w:rPr>
          <w:rFonts w:ascii="Arial" w:cs="Arial" w:eastAsia="Arial" w:hAnsi="Arial"/>
          <w:color w:val="1A1A1A"/>
          <w:sz w:val="22"/>
          <w:szCs w:val="22"/>
        </w:rPr>
        <w:t xml:space="preserve">retention is required by law (e.g. FIC Act, tax law, Companies Act);</w:t>
      </w:r>
    </w:p>
    <w:p>
      <w:pPr>
        <w:pStyle w:val="ListParagraph"/>
        <w:numPr>
          <w:ilvl w:val="0"/>
          <w:numId w:val="2"/>
        </w:numPr>
        <w:spacing w:after="40" w:before="40"/>
      </w:pPr>
      <w:r>
        <w:rPr>
          <w:rFonts w:ascii="Arial" w:cs="Arial" w:eastAsia="Arial" w:hAnsi="Arial"/>
          <w:color w:val="1A1A1A"/>
          <w:sz w:val="22"/>
          <w:szCs w:val="22"/>
        </w:rPr>
        <w:t xml:space="preserve">the information is required for the defence of a legal claim;</w:t>
      </w:r>
    </w:p>
    <w:p>
      <w:pPr>
        <w:pStyle w:val="ListParagraph"/>
        <w:numPr>
          <w:ilvl w:val="0"/>
          <w:numId w:val="2"/>
        </w:numPr>
        <w:spacing w:after="40" w:before="40"/>
      </w:pPr>
      <w:r>
        <w:rPr>
          <w:rFonts w:ascii="Arial" w:cs="Arial" w:eastAsia="Arial" w:hAnsi="Arial"/>
          <w:color w:val="1A1A1A"/>
          <w:sz w:val="22"/>
          <w:szCs w:val="22"/>
        </w:rPr>
        <w:t xml:space="preserve">the information relates to an active dispute, chargeback, or regulatory investigation;</w:t>
      </w:r>
    </w:p>
    <w:p>
      <w:pPr>
        <w:pStyle w:val="ListParagraph"/>
        <w:numPr>
          <w:ilvl w:val="0"/>
          <w:numId w:val="2"/>
        </w:numPr>
        <w:spacing w:after="40" w:before="40"/>
      </w:pPr>
      <w:r>
        <w:rPr>
          <w:rFonts w:ascii="Arial" w:cs="Arial" w:eastAsia="Arial" w:hAnsi="Arial"/>
          <w:color w:val="1A1A1A"/>
          <w:sz w:val="22"/>
          <w:szCs w:val="22"/>
        </w:rPr>
        <w:t xml:space="preserve">deletion would harm a third party's rights.</w:t>
      </w:r>
    </w:p>
    <w:p>
      <w:pPr>
        <w:spacing w:after="80" w:before="80"/>
      </w:pPr>
      <w:r>
        <w:rPr>
          <w:rFonts w:ascii="Arial" w:cs="Arial" w:eastAsia="Arial" w:hAnsi="Arial"/>
          <w:color w:val="1A1A1A"/>
          <w:sz w:val="22"/>
          <w:szCs w:val="22"/>
        </w:rPr>
        <w:t xml:space="preserve">Where deletion is refused, ANIMEX will explain the legal basis and advise the data subject of their right to complain to the Information Regulator.</w:t>
      </w:r>
    </w:p>
    <w:p>
      <w:pPr>
        <w:pStyle w:val="Heading2"/>
        <w:spacing w:after="120" w:before="280"/>
      </w:pPr>
      <w:r>
        <w:rPr>
          <w:rFonts w:ascii="Arial" w:cs="Arial" w:eastAsia="Arial" w:hAnsi="Arial"/>
          <w:b/>
          <w:bCs/>
          <w:color w:val="1A1A1A"/>
          <w:sz w:val="26"/>
          <w:szCs w:val="26"/>
        </w:rPr>
        <w:t xml:space="preserve">2.8  Objection to Processing</w:t>
      </w:r>
    </w:p>
    <w:p>
      <w:pPr>
        <w:spacing w:after="80" w:before="80"/>
      </w:pPr>
      <w:r>
        <w:rPr>
          <w:rFonts w:ascii="Arial" w:cs="Arial" w:eastAsia="Arial" w:hAnsi="Arial"/>
          <w:color w:val="1A1A1A"/>
          <w:sz w:val="22"/>
          <w:szCs w:val="22"/>
        </w:rPr>
        <w:t xml:space="preserve">A data subject may object to processing based on legitimate interest. On receipt of a valid objection, ANIMEX will: suspend the processing while it assesses whether the objection overrides ANIMEX's legitimate interest; communicate its decision within 30 (thirty) calendar days; and cease processing where the objection is upheld.</w:t>
      </w:r>
    </w:p>
    <w:p>
      <w:pPr>
        <w:pStyle w:val="Heading2"/>
        <w:spacing w:after="120" w:before="280"/>
      </w:pPr>
      <w:r>
        <w:rPr>
          <w:rFonts w:ascii="Arial" w:cs="Arial" w:eastAsia="Arial" w:hAnsi="Arial"/>
          <w:b/>
          <w:bCs/>
          <w:color w:val="1A1A1A"/>
          <w:sz w:val="26"/>
          <w:szCs w:val="26"/>
        </w:rPr>
        <w:t xml:space="preserve">2.9  Consent Withdrawal</w:t>
      </w:r>
    </w:p>
    <w:p>
      <w:pPr>
        <w:spacing w:after="80" w:before="80"/>
      </w:pPr>
      <w:r>
        <w:rPr>
          <w:rFonts w:ascii="Arial" w:cs="Arial" w:eastAsia="Arial" w:hAnsi="Arial"/>
          <w:color w:val="1A1A1A"/>
          <w:sz w:val="22"/>
          <w:szCs w:val="22"/>
        </w:rPr>
        <w:t xml:space="preserve">Where processing is based on consent, the data subject may withdraw consent at any time. Withdrawal is effective from the date ANIMEX processes the request. Withdrawal does not affect the lawfulness of processing carried out before withdrawal. On withdrawal, ANIMEX will cease processing within 5 (five) business days and delete or restrict the data unless another lawful basis exists for continued retention.</w:t>
      </w:r>
    </w:p>
    <w:p>
      <w:pPr>
        <w:pStyle w:val="Heading2"/>
        <w:spacing w:after="120" w:before="280"/>
      </w:pPr>
      <w:r>
        <w:rPr>
          <w:rFonts w:ascii="Arial" w:cs="Arial" w:eastAsia="Arial" w:hAnsi="Arial"/>
          <w:b/>
          <w:bCs/>
          <w:color w:val="1A1A1A"/>
          <w:sz w:val="26"/>
          <w:szCs w:val="26"/>
        </w:rPr>
        <w:t xml:space="preserve">2.10  Request Log</w:t>
      </w:r>
    </w:p>
    <w:p>
      <w:pPr>
        <w:spacing w:after="80" w:before="80"/>
      </w:pPr>
      <w:r>
        <w:rPr>
          <w:rFonts w:ascii="Arial" w:cs="Arial" w:eastAsia="Arial" w:hAnsi="Arial"/>
          <w:color w:val="1A1A1A"/>
          <w:sz w:val="22"/>
          <w:szCs w:val="22"/>
        </w:rPr>
        <w:t xml:space="preserve">ANIMEX's Information Officer must maintain a log of all data subject requests, including: date received; identity of the requestor; right exercised; date of ANIMEX's response; outcome; and any extensions or refusals. The log must be retained for 5 (five) years and must be available to the Information Regulator on request.</w:t>
      </w:r>
    </w:p>
    <w:p>
      <w:pPr>
        <w:pStyle w:val="Heading2"/>
        <w:spacing w:after="120" w:before="280"/>
      </w:pPr>
      <w:r>
        <w:rPr>
          <w:rFonts w:ascii="Arial" w:cs="Arial" w:eastAsia="Arial" w:hAnsi="Arial"/>
          <w:b/>
          <w:bCs/>
          <w:color w:val="1A1A1A"/>
          <w:sz w:val="26"/>
          <w:szCs w:val="26"/>
        </w:rPr>
        <w:t xml:space="preserve">2.11  Complaint Escalation</w:t>
      </w:r>
    </w:p>
    <w:p>
      <w:pPr>
        <w:spacing w:after="80" w:before="80"/>
      </w:pPr>
      <w:r>
        <w:rPr>
          <w:rFonts w:ascii="Arial" w:cs="Arial" w:eastAsia="Arial" w:hAnsi="Arial"/>
          <w:color w:val="1A1A1A"/>
          <w:sz w:val="22"/>
          <w:szCs w:val="22"/>
        </w:rPr>
        <w:t xml:space="preserve">If a data subject is not satisfied with ANIMEX's response, they may lodge a complaint with the Information Regulator of South Africa:</w:t>
      </w:r>
    </w:p>
    <w:p>
      <w:pPr>
        <w:spacing w:after="80" w:before="80"/>
      </w:pPr>
      <w:r>
        <w:rPr>
          <w:rFonts w:ascii="Arial" w:cs="Arial" w:eastAsia="Arial" w:hAnsi="Arial"/>
          <w:color w:val="1A1A1A"/>
          <w:sz w:val="22"/>
          <w:szCs w:val="22"/>
        </w:rPr>
        <w:t xml:space="preserve">Website: www.inforegulator.org.za  |  Email: POPIAComplaints@inforegulator.org.za</w:t>
      </w:r>
    </w:p>
    <w:p>
      <w:pPr>
        <w:spacing w:after="80" w:before="80"/>
      </w:pPr>
      <w:r>
        <w:rPr>
          <w:rFonts w:ascii="Arial" w:cs="Arial" w:eastAsia="Arial" w:hAnsi="Arial"/>
          <w:color w:val="1A1A1A"/>
          <w:sz w:val="22"/>
          <w:szCs w:val="22"/>
        </w:rPr>
        <w:t xml:space="preserve">Address: Woodmead North Office Park, 54 Maxwell Drive, Woodmead, Johannesburg, 2191</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3.  Account Deletion and Data Export Procedure</w:t>
      </w:r>
    </w:p>
    <w:p>
      <w:pPr>
        <w:pStyle w:val="Heading2"/>
        <w:spacing w:after="120" w:before="280"/>
      </w:pPr>
      <w:r>
        <w:rPr>
          <w:rFonts w:ascii="Arial" w:cs="Arial" w:eastAsia="Arial" w:hAnsi="Arial"/>
          <w:b/>
          <w:bCs/>
          <w:color w:val="1A1A1A"/>
          <w:sz w:val="26"/>
          <w:szCs w:val="26"/>
        </w:rPr>
        <w:t xml:space="preserve">3.1  Purpose</w:t>
      </w:r>
    </w:p>
    <w:p>
      <w:pPr>
        <w:spacing w:after="80" w:before="80"/>
      </w:pPr>
      <w:r>
        <w:rPr>
          <w:rFonts w:ascii="Arial" w:cs="Arial" w:eastAsia="Arial" w:hAnsi="Arial"/>
          <w:color w:val="1A1A1A"/>
          <w:sz w:val="22"/>
          <w:szCs w:val="22"/>
        </w:rPr>
        <w:t>This procedure governs account closure requests, data deletion, and data export exports under POPIA. It reflects ANIMEX's obligations to delete personal information that is no longer required while complying with legal retention obligations.</w:t>
      </w:r>
    </w:p>
    <w:p>
      <w:pPr>
        <w:pStyle w:val="Heading2"/>
        <w:spacing w:after="120" w:before="280"/>
      </w:pPr>
      <w:r>
        <w:rPr>
          <w:rFonts w:ascii="Arial" w:cs="Arial" w:eastAsia="Arial" w:hAnsi="Arial"/>
          <w:b/>
          <w:bCs/>
          <w:color w:val="1A1A1A"/>
          <w:sz w:val="26"/>
          <w:szCs w:val="26"/>
        </w:rPr>
        <w:t xml:space="preserve">3.2  Who May Request Account Deletion</w:t>
      </w:r>
    </w:p>
    <w:p>
      <w:pPr>
        <w:spacing w:after="80" w:before="80"/>
      </w:pPr>
      <w:r>
        <w:rPr>
          <w:rFonts w:ascii="Arial" w:cs="Arial" w:eastAsia="Arial" w:hAnsi="Arial"/>
          <w:color w:val="1A1A1A"/>
          <w:sz w:val="22"/>
          <w:szCs w:val="22"/>
        </w:rPr>
        <w:t xml:space="preserve">Any User with an active ANIMEX account may request account deletion through:</w:t>
      </w:r>
    </w:p>
    <w:p>
      <w:pPr>
        <w:pStyle w:val="ListParagraph"/>
        <w:numPr>
          <w:ilvl w:val="0"/>
          <w:numId w:val="2"/>
        </w:numPr>
        <w:spacing w:after="40" w:before="40"/>
      </w:pPr>
      <w:r>
        <w:rPr>
          <w:rFonts w:ascii="Arial" w:cs="Arial" w:eastAsia="Arial" w:hAnsi="Arial"/>
          <w:color w:val="1A1A1A"/>
          <w:sz w:val="22"/>
          <w:szCs w:val="22"/>
        </w:rPr>
        <w:t xml:space="preserve">the in-app account settings self-service deletion function;</w:t>
      </w:r>
    </w:p>
    <w:p>
      <w:pPr>
        <w:pStyle w:val="ListParagraph"/>
        <w:numPr>
          <w:ilvl w:val="0"/>
          <w:numId w:val="2"/>
        </w:numPr>
        <w:spacing w:after="40" w:before="40"/>
      </w:pPr>
      <w:r>
        <w:rPr>
          <w:rFonts w:ascii="Arial" w:cs="Arial" w:eastAsia="Arial" w:hAnsi="Arial"/>
          <w:color w:val="1A1A1A"/>
          <w:sz w:val="22"/>
          <w:szCs w:val="22"/>
        </w:rPr>
        <w:t>a written request to info@animexofficial.co.za from the registered email address.</w:t>
      </w:r>
    </w:p>
    <w:p>
      <w:pPr>
        <w:spacing w:after="80" w:before="80"/>
      </w:pPr>
      <w:r>
        <w:rPr>
          <w:rFonts w:ascii="Arial" w:cs="Arial" w:eastAsia="Arial" w:hAnsi="Arial"/>
          <w:color w:val="1A1A1A"/>
          <w:sz w:val="22"/>
          <w:szCs w:val="22"/>
        </w:rPr>
        <w:t xml:space="preserve">Account deletion requests from unverified sources will not be processed. ANIMEX will verify the request through the registered account email or identity verification before proceeding.</w:t>
      </w:r>
    </w:p>
    <w:p>
      <w:pPr>
        <w:pStyle w:val="Heading2"/>
        <w:spacing w:after="120" w:before="280"/>
      </w:pPr>
      <w:r>
        <w:rPr>
          <w:rFonts w:ascii="Arial" w:cs="Arial" w:eastAsia="Arial" w:hAnsi="Arial"/>
          <w:b/>
          <w:bCs/>
          <w:color w:val="1A1A1A"/>
          <w:sz w:val="26"/>
          <w:szCs w:val="26"/>
        </w:rPr>
        <w:t xml:space="preserve">3.3  What Happens on Account Deletion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Data Category</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Treatment on Account Deletion</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Retention Period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Active Listings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Immediately taken down on deletion confirmation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Immediately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Pending payouts (cleared)</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Released to verified bank account before deletion completes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deletion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Pending payouts (disputed)</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Held until Dispute is resolved, then paid or refunded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After Dispute resolution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Active Secure Checkout transactions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Must be resolved before deletion can proceed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deletion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Profile information (name, email, phone, address)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De-identified or deleted within 30 days of deletion confirmation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30 days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Transaction records (completed)</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Retained for 5 years per Records Retention Schedule (anonymised where possible)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Payment and payout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Retained for 5 years (VAT Act, FIC Act)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Dispute and refund records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Retained for 3 years post-resolution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 years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Audit logs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Retained for 3 years (ANIMEX security and accountability)</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 years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Adoption records and welfare check-ins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Retained for 5 years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Fraud and risk flags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Retained for 5 years to prevent circumvention of bans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5 years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3.4  Data That Cannot Be Deleted Immediately</w:t>
      </w:r>
    </w:p>
    <w:p>
      <w:pPr>
        <w:spacing w:after="80" w:before="80"/>
      </w:pPr>
      <w:r>
        <w:rPr>
          <w:rFonts w:ascii="Arial" w:cs="Arial" w:eastAsia="Arial" w:hAnsi="Arial"/>
          <w:color w:val="1A1A1A"/>
          <w:sz w:val="22"/>
          <w:szCs w:val="22"/>
        </w:rPr>
        <w:t xml:space="preserve">Certain records must be retained by law and cannot be deleted on request, including: tax and VAT records; FIC Act compliance records; records subject to a legal hold, court order, or regulatory investigation; fraud and chargeback records; and records required for the defence of a legal claim. ANIMEX will inform the User which records are being retained and on what legal basis.</w:t>
      </w:r>
    </w:p>
    <w:p>
      <w:pPr>
        <w:pStyle w:val="Heading2"/>
        <w:spacing w:after="120" w:before="280"/>
      </w:pPr>
      <w:r>
        <w:rPr>
          <w:rFonts w:ascii="Arial" w:cs="Arial" w:eastAsia="Arial" w:hAnsi="Arial"/>
          <w:b/>
          <w:bCs/>
          <w:color w:val="1A1A1A"/>
          <w:sz w:val="26"/>
          <w:szCs w:val="26"/>
        </w:rPr>
        <w:t>3.5  Data Export</w:t>
      </w:r>
    </w:p>
    <w:p>
      <w:pPr>
        <w:spacing w:after="80" w:before="80"/>
      </w:pPr>
      <w:r>
        <w:rPr>
          <w:rFonts w:ascii="Arial" w:cs="Arial" w:eastAsia="Arial" w:hAnsi="Arial"/>
          <w:color w:val="1A1A1A"/>
          <w:sz w:val="22"/>
          <w:szCs w:val="22"/>
        </w:rPr>
        <w:t>Users may request a structured export of their personal information in a reasonable machine-readable or human-readable format where technically feasible and lawful (CSV, JSON, or PDF). A portability request should be submitted to info@animexofficial.co.za and ANIMEX will provide the export within 30 (thirty) calendar days. Data exports include: account profile data; Listing data created by the User; transaction records; and communications (to the extent technically practicable and not prohibited by third-party rights).</w:t>
      </w:r>
    </w:p>
    <w:p>
      <w:pPr>
        <w:pStyle w:val="Heading2"/>
        <w:spacing w:after="120" w:before="280"/>
      </w:pPr>
      <w:r>
        <w:rPr>
          <w:rFonts w:ascii="Arial" w:cs="Arial" w:eastAsia="Arial" w:hAnsi="Arial"/>
          <w:b/>
          <w:bCs/>
          <w:color w:val="1A1A1A"/>
          <w:sz w:val="26"/>
          <w:szCs w:val="26"/>
        </w:rPr>
        <w:t xml:space="preserve">3.6  Re-registration After Deletion</w:t>
      </w:r>
    </w:p>
    <w:p>
      <w:pPr>
        <w:spacing w:after="80" w:before="80"/>
      </w:pPr>
      <w:r>
        <w:rPr>
          <w:rFonts w:ascii="Arial" w:cs="Arial" w:eastAsia="Arial" w:hAnsi="Arial"/>
          <w:color w:val="1A1A1A"/>
          <w:sz w:val="22"/>
          <w:szCs w:val="22"/>
        </w:rPr>
        <w:t xml:space="preserve">Deleted accounts may not be re-registered where the User was permanently banned. Where deletion was a voluntary choice, re-registration creates a new account with no access to previous records except where ANIMEX retains records under legal obligation. ANIMEX may refuse re-registration where fraud, chargeback abuse, welfare violations, or other risk factors are associated with the prior account.</w:t>
      </w:r>
    </w:p>
    <w:p>
      <w:pPr>
        <w:pStyle w:val="Heading2"/>
        <w:spacing w:after="120" w:before="280"/>
      </w:pPr>
      <w:r>
        <w:rPr>
          <w:rFonts w:ascii="Arial" w:cs="Arial" w:eastAsia="Arial" w:hAnsi="Arial"/>
          <w:b/>
          <w:bCs/>
          <w:color w:val="1A1A1A"/>
          <w:sz w:val="26"/>
          <w:szCs w:val="26"/>
        </w:rPr>
        <w:t xml:space="preserve">3.7  Timeline Summary</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Timeline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Acknowledge deletion request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 business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Resolve prerequisites (open Disputes, pending payouts, active transactions)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Before deletion confirmed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Confirm deletion and provide deletion confirmation email</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10 business days after prerequisites resolved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De-identify or delete profile and contact data</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30 days after confirmation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Provide data export export (if requested simultaneously)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30 days from request</w:t>
            </w:r>
          </w:p>
        </w:tc>
      </w:tr>
    </w:tbl>
    <w:p>
      <w:pPr>
        <w:spacing w:after="60" w:before="60"/>
      </w:pPr>
      <w:r>
        <w:t xml:space="preserve"/>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4.  Admin and Staff Acceptable Use Policy</w:t>
      </w:r>
    </w:p>
    <w:p>
      <w:pPr>
        <w:spacing w:after="80" w:before="80"/>
      </w:pPr>
      <w:r>
        <w:rPr>
          <w:rFonts w:ascii="Arial" w:cs="Arial" w:eastAsia="Arial" w:hAnsi="Arial"/>
          <w:color w:val="1A1A1A"/>
          <w:sz w:val="22"/>
          <w:szCs w:val="22"/>
        </w:rPr>
        <w:t xml:space="preserve">This Policy governs the conduct of ANIMEX employees, contractors, administrators, support agents, and all persons with access to the ANIMEX Platform's administrative systems, User data, audit tools, payment tools, or policy configuration (collectively "Staff").</w:t>
      </w:r>
    </w:p>
    <w:p>
      <w:pPr>
        <w:pStyle w:val="Heading2"/>
        <w:spacing w:after="120" w:before="280"/>
      </w:pPr>
      <w:r>
        <w:rPr>
          <w:rFonts w:ascii="Arial" w:cs="Arial" w:eastAsia="Arial" w:hAnsi="Arial"/>
          <w:b/>
          <w:bCs/>
          <w:color w:val="1A1A1A"/>
          <w:sz w:val="26"/>
          <w:szCs w:val="26"/>
        </w:rPr>
        <w:t xml:space="preserve">4.1  Scope</w:t>
      </w:r>
    </w:p>
    <w:p>
      <w:pPr>
        <w:spacing w:after="80" w:before="80"/>
      </w:pPr>
      <w:r>
        <w:rPr>
          <w:rFonts w:ascii="Arial" w:cs="Arial" w:eastAsia="Arial" w:hAnsi="Arial"/>
          <w:color w:val="1A1A1A"/>
          <w:sz w:val="22"/>
          <w:szCs w:val="22"/>
        </w:rPr>
        <w:t xml:space="preserve">This Policy applies to: all ANIMEX directors; employees; contractors and freelancers; platform administrators at any role level; support agents; developers; data analysts; compliance officers; and anyone granted temporary or permanent access to ANIMEX's systems, admin consoles, User data, payment controls, or operational infrastructure.</w:t>
      </w:r>
    </w:p>
    <w:p>
      <w:pPr>
        <w:pStyle w:val="Heading2"/>
        <w:spacing w:after="120" w:before="280"/>
      </w:pPr>
      <w:r>
        <w:rPr>
          <w:rFonts w:ascii="Arial" w:cs="Arial" w:eastAsia="Arial" w:hAnsi="Arial"/>
          <w:b/>
          <w:bCs/>
          <w:color w:val="1A1A1A"/>
          <w:sz w:val="26"/>
          <w:szCs w:val="26"/>
        </w:rPr>
        <w:t xml:space="preserve">4.2  Core Obligations</w:t>
      </w:r>
    </w:p>
    <w:p>
      <w:pPr>
        <w:spacing w:after="80" w:before="80"/>
      </w:pPr>
      <w:r>
        <w:rPr>
          <w:rFonts w:ascii="Arial" w:cs="Arial" w:eastAsia="Arial" w:hAnsi="Arial"/>
          <w:color w:val="1A1A1A"/>
          <w:sz w:val="22"/>
          <w:szCs w:val="22"/>
        </w:rPr>
        <w:t xml:space="preserve">All Staff must:</w:t>
      </w:r>
    </w:p>
    <w:p>
      <w:pPr>
        <w:pStyle w:val="ListParagraph"/>
        <w:numPr>
          <w:ilvl w:val="0"/>
          <w:numId w:val="2"/>
        </w:numPr>
        <w:spacing w:after="40" w:before="40"/>
      </w:pPr>
      <w:r>
        <w:rPr>
          <w:rFonts w:ascii="Arial" w:cs="Arial" w:eastAsia="Arial" w:hAnsi="Arial"/>
          <w:color w:val="1A1A1A"/>
          <w:sz w:val="22"/>
          <w:szCs w:val="22"/>
        </w:rPr>
        <w:t xml:space="preserve">use ANIMEX systems only for lawful, authorised, and legitimate business purposes;</w:t>
      </w:r>
    </w:p>
    <w:p>
      <w:pPr>
        <w:pStyle w:val="ListParagraph"/>
        <w:numPr>
          <w:ilvl w:val="0"/>
          <w:numId w:val="2"/>
        </w:numPr>
        <w:spacing w:after="40" w:before="40"/>
      </w:pPr>
      <w:r>
        <w:rPr>
          <w:rFonts w:ascii="Arial" w:cs="Arial" w:eastAsia="Arial" w:hAnsi="Arial"/>
          <w:color w:val="1A1A1A"/>
          <w:sz w:val="22"/>
          <w:szCs w:val="22"/>
        </w:rPr>
        <w:t xml:space="preserve">keep all login credentials strictly confidential and not share them with any other person;</w:t>
      </w:r>
    </w:p>
    <w:p>
      <w:pPr>
        <w:pStyle w:val="ListParagraph"/>
        <w:numPr>
          <w:ilvl w:val="0"/>
          <w:numId w:val="2"/>
        </w:numPr>
        <w:spacing w:after="40" w:before="40"/>
      </w:pPr>
      <w:r>
        <w:rPr>
          <w:rFonts w:ascii="Arial" w:cs="Arial" w:eastAsia="Arial" w:hAnsi="Arial"/>
          <w:color w:val="1A1A1A"/>
          <w:sz w:val="22"/>
          <w:szCs w:val="22"/>
        </w:rPr>
        <w:t xml:space="preserve">use multi-factor authentication (MFA) where enabled on any system holding User personal information or payment data;</w:t>
      </w:r>
    </w:p>
    <w:p>
      <w:pPr>
        <w:pStyle w:val="ListParagraph"/>
        <w:numPr>
          <w:ilvl w:val="0"/>
          <w:numId w:val="2"/>
        </w:numPr>
        <w:spacing w:after="40" w:before="40"/>
      </w:pPr>
      <w:r>
        <w:rPr>
          <w:rFonts w:ascii="Arial" w:cs="Arial" w:eastAsia="Arial" w:hAnsi="Arial"/>
          <w:color w:val="1A1A1A"/>
          <w:sz w:val="22"/>
          <w:szCs w:val="22"/>
        </w:rPr>
        <w:t>report suspected security incidents, unauthorised access, or data breaches to info@animexofficial.co.za within 1 (one) hour of discovery;</w:t>
      </w:r>
    </w:p>
    <w:p>
      <w:pPr>
        <w:pStyle w:val="ListParagraph"/>
        <w:numPr>
          <w:ilvl w:val="0"/>
          <w:numId w:val="2"/>
        </w:numPr>
        <w:spacing w:after="40" w:before="40"/>
      </w:pPr>
      <w:r>
        <w:rPr>
          <w:rFonts w:ascii="Arial" w:cs="Arial" w:eastAsia="Arial" w:hAnsi="Arial"/>
          <w:color w:val="1A1A1A"/>
          <w:sz w:val="22"/>
          <w:szCs w:val="22"/>
        </w:rPr>
        <w:t xml:space="preserve">not access, copy, download, print, screenshot, export, or transfer User personal information except where required for a specific, authorised business task;</w:t>
      </w:r>
    </w:p>
    <w:p>
      <w:pPr>
        <w:pStyle w:val="ListParagraph"/>
        <w:numPr>
          <w:ilvl w:val="0"/>
          <w:numId w:val="2"/>
        </w:numPr>
        <w:spacing w:after="40" w:before="40"/>
      </w:pPr>
      <w:r>
        <w:rPr>
          <w:rFonts w:ascii="Arial" w:cs="Arial" w:eastAsia="Arial" w:hAnsi="Arial"/>
          <w:color w:val="1A1A1A"/>
          <w:sz w:val="22"/>
          <w:szCs w:val="22"/>
        </w:rPr>
        <w:t xml:space="preserve">not use User personal information for personal gain, profiling, external communication, or any purpose not authorised by ANIMEX;</w:t>
      </w:r>
    </w:p>
    <w:p>
      <w:pPr>
        <w:pStyle w:val="ListParagraph"/>
        <w:numPr>
          <w:ilvl w:val="0"/>
          <w:numId w:val="2"/>
        </w:numPr>
        <w:spacing w:after="40" w:before="40"/>
      </w:pPr>
      <w:r>
        <w:rPr>
          <w:rFonts w:ascii="Arial" w:cs="Arial" w:eastAsia="Arial" w:hAnsi="Arial"/>
          <w:color w:val="1A1A1A"/>
          <w:sz w:val="22"/>
          <w:szCs w:val="22"/>
        </w:rPr>
        <w:t xml:space="preserve">comply with POPIA, the Cybercrimes Act, the FIC Act, and all applicable South African law;</w:t>
      </w:r>
    </w:p>
    <w:p>
      <w:pPr>
        <w:pStyle w:val="ListParagraph"/>
        <w:numPr>
          <w:ilvl w:val="0"/>
          <w:numId w:val="2"/>
        </w:numPr>
        <w:spacing w:after="40" w:before="40"/>
      </w:pPr>
      <w:r>
        <w:rPr>
          <w:rFonts w:ascii="Arial" w:cs="Arial" w:eastAsia="Arial" w:hAnsi="Arial"/>
          <w:color w:val="1A1A1A"/>
          <w:sz w:val="22"/>
          <w:szCs w:val="22"/>
        </w:rPr>
        <w:t xml:space="preserve">attend ANIMEX data protection and security training at least annually.</w:t>
      </w:r>
    </w:p>
    <w:p>
      <w:pPr>
        <w:pStyle w:val="Heading2"/>
        <w:spacing w:after="120" w:before="280"/>
      </w:pPr>
      <w:r>
        <w:rPr>
          <w:rFonts w:ascii="Arial" w:cs="Arial" w:eastAsia="Arial" w:hAnsi="Arial"/>
          <w:b/>
          <w:bCs/>
          <w:color w:val="1A1A1A"/>
          <w:sz w:val="26"/>
          <w:szCs w:val="26"/>
        </w:rPr>
        <w:t xml:space="preserve">4.3  Access Controls</w:t>
      </w:r>
    </w:p>
    <w:p>
      <w:pPr>
        <w:spacing w:after="80" w:before="80"/>
      </w:pPr>
      <w:r>
        <w:rPr>
          <w:rFonts w:ascii="Arial" w:cs="Arial" w:eastAsia="Arial" w:hAnsi="Arial"/>
          <w:color w:val="1A1A1A"/>
          <w:sz w:val="22"/>
          <w:szCs w:val="22"/>
        </w:rPr>
        <w:t>Staff access to ANIMEX systems is governed by the principle of least privilege - each Staff member is granted only the minimum permissions necessary for their specific role. Access levels: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Role</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Permitted Access</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Who May Hold Role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Super Admin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Full platform access including user bans, payout release, fee configuration, role assignment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CEO / CTO / authorised director only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Admin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management, Listing moderation, dispute management, payout holds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Senior operations staff - dual authorisation for fund actions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Support Agent</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account viewing, messaging access, Dispute viewing, support ticket management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Support staff - read-only for payment data</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Auditor</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Read-only access to audit logs, transaction logs, financial records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Finance / compliance team</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Developer</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Code deployment access, non-production data only; production access requires MFA and audit trail</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Engineering team - no live User personal data in dev environments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Data Analyst</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Anonymised or aggregated data only - no access to raw personal information</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Analytics team</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4.4  Prohibited Conduct</w:t>
      </w:r>
    </w:p>
    <w:p>
      <w:pPr>
        <w:spacing w:after="80" w:before="80"/>
      </w:pPr>
      <w:r>
        <w:rPr>
          <w:rFonts w:ascii="Arial" w:cs="Arial" w:eastAsia="Arial" w:hAnsi="Arial"/>
          <w:color w:val="1A1A1A"/>
          <w:sz w:val="22"/>
          <w:szCs w:val="22"/>
        </w:rPr>
        <w:t xml:space="preserve">Staff must not:</w:t>
      </w:r>
    </w:p>
    <w:p>
      <w:pPr>
        <w:pStyle w:val="ListParagraph"/>
        <w:numPr>
          <w:ilvl w:val="0"/>
          <w:numId w:val="2"/>
        </w:numPr>
        <w:spacing w:after="40" w:before="40"/>
      </w:pPr>
      <w:r>
        <w:rPr>
          <w:rFonts w:ascii="Arial" w:cs="Arial" w:eastAsia="Arial" w:hAnsi="Arial"/>
          <w:color w:val="1A1A1A"/>
          <w:sz w:val="22"/>
          <w:szCs w:val="22"/>
        </w:rPr>
        <w:t xml:space="preserve">access any User account, data, or transaction for personal curiosity, personal gain, competitive intelligence, or without a documented business reason;</w:t>
      </w:r>
    </w:p>
    <w:p>
      <w:pPr>
        <w:pStyle w:val="ListParagraph"/>
        <w:numPr>
          <w:ilvl w:val="0"/>
          <w:numId w:val="2"/>
        </w:numPr>
        <w:spacing w:after="40" w:before="40"/>
      </w:pPr>
      <w:r>
        <w:rPr>
          <w:rFonts w:ascii="Arial" w:cs="Arial" w:eastAsia="Arial" w:hAnsi="Arial"/>
          <w:color w:val="1A1A1A"/>
          <w:sz w:val="22"/>
          <w:szCs w:val="22"/>
        </w:rPr>
        <w:t xml:space="preserve">share User personal information, internal systems data, platform metrics, or confidential business information with any external party without authorisation;</w:t>
      </w:r>
    </w:p>
    <w:p>
      <w:pPr>
        <w:pStyle w:val="ListParagraph"/>
        <w:numPr>
          <w:ilvl w:val="0"/>
          <w:numId w:val="2"/>
        </w:numPr>
        <w:spacing w:after="40" w:before="40"/>
      </w:pPr>
      <w:r>
        <w:rPr>
          <w:rFonts w:ascii="Arial" w:cs="Arial" w:eastAsia="Arial" w:hAnsi="Arial"/>
          <w:color w:val="1A1A1A"/>
          <w:sz w:val="22"/>
          <w:szCs w:val="22"/>
        </w:rPr>
        <w:t xml:space="preserve">accept bribes, gifts over a reasonable value, kickbacks, or improper incentives in connection with Platform decisions, verifications, or outcomes;</w:t>
      </w:r>
    </w:p>
    <w:p>
      <w:pPr>
        <w:pStyle w:val="ListParagraph"/>
        <w:numPr>
          <w:ilvl w:val="0"/>
          <w:numId w:val="2"/>
        </w:numPr>
        <w:spacing w:after="40" w:before="40"/>
      </w:pPr>
      <w:r>
        <w:rPr>
          <w:rFonts w:ascii="Arial" w:cs="Arial" w:eastAsia="Arial" w:hAnsi="Arial"/>
          <w:color w:val="1A1A1A"/>
          <w:sz w:val="22"/>
          <w:szCs w:val="22"/>
        </w:rPr>
        <w:t xml:space="preserve">manually override payment releases, payout holds, or fee calculations without the required approval chain and audit log entry;</w:t>
      </w:r>
    </w:p>
    <w:p>
      <w:pPr>
        <w:pStyle w:val="ListParagraph"/>
        <w:numPr>
          <w:ilvl w:val="0"/>
          <w:numId w:val="2"/>
        </w:numPr>
        <w:spacing w:after="40" w:before="40"/>
      </w:pPr>
      <w:r>
        <w:rPr>
          <w:rFonts w:ascii="Arial" w:cs="Arial" w:eastAsia="Arial" w:hAnsi="Arial"/>
          <w:color w:val="1A1A1A"/>
          <w:sz w:val="22"/>
          <w:szCs w:val="22"/>
        </w:rPr>
        <w:t xml:space="preserve">modify, delete, suppress, or falsify audit logs under any circumstances;</w:t>
      </w:r>
    </w:p>
    <w:p>
      <w:pPr>
        <w:pStyle w:val="ListParagraph"/>
        <w:numPr>
          <w:ilvl w:val="0"/>
          <w:numId w:val="2"/>
        </w:numPr>
        <w:spacing w:after="40" w:before="40"/>
      </w:pPr>
      <w:r>
        <w:rPr>
          <w:rFonts w:ascii="Arial" w:cs="Arial" w:eastAsia="Arial" w:hAnsi="Arial"/>
          <w:color w:val="1A1A1A"/>
          <w:sz w:val="22"/>
          <w:szCs w:val="22"/>
        </w:rPr>
        <w:t xml:space="preserve">use personal email, personal cloud storage, or personal devices to store, transmit, or process ANIMEX User personal information;</w:t>
      </w:r>
    </w:p>
    <w:p>
      <w:pPr>
        <w:pStyle w:val="ListParagraph"/>
        <w:numPr>
          <w:ilvl w:val="0"/>
          <w:numId w:val="2"/>
        </w:numPr>
        <w:spacing w:after="40" w:before="40"/>
      </w:pPr>
      <w:r>
        <w:rPr>
          <w:rFonts w:ascii="Arial" w:cs="Arial" w:eastAsia="Arial" w:hAnsi="Arial"/>
          <w:color w:val="1A1A1A"/>
          <w:sz w:val="22"/>
          <w:szCs w:val="22"/>
        </w:rPr>
        <w:t xml:space="preserve">exploit admin access to improperly benefit themselves, a family member, a business associate, or a User with whom they have a conflict of interest;</w:t>
      </w:r>
    </w:p>
    <w:p>
      <w:pPr>
        <w:pStyle w:val="ListParagraph"/>
        <w:numPr>
          <w:ilvl w:val="0"/>
          <w:numId w:val="2"/>
        </w:numPr>
        <w:spacing w:after="40" w:before="40"/>
      </w:pPr>
      <w:r>
        <w:rPr>
          <w:rFonts w:ascii="Arial" w:cs="Arial" w:eastAsia="Arial" w:hAnsi="Arial"/>
          <w:color w:val="1A1A1A"/>
          <w:sz w:val="22"/>
          <w:szCs w:val="22"/>
        </w:rPr>
        <w:t xml:space="preserve">conduct any activity that constitutes a cyber offence under the Cybercrimes Act, including accessing systems beyond authorised scope.</w:t>
      </w:r>
    </w:p>
    <w:p>
      <w:pPr>
        <w:pStyle w:val="Heading2"/>
        <w:spacing w:after="120" w:before="280"/>
      </w:pPr>
      <w:r>
        <w:rPr>
          <w:rFonts w:ascii="Arial" w:cs="Arial" w:eastAsia="Arial" w:hAnsi="Arial"/>
          <w:b/>
          <w:bCs/>
          <w:color w:val="1A1A1A"/>
          <w:sz w:val="26"/>
          <w:szCs w:val="26"/>
        </w:rPr>
        <w:t xml:space="preserve">4.5  Conflict of Interest</w:t>
      </w:r>
    </w:p>
    <w:p>
      <w:pPr>
        <w:spacing w:after="80" w:before="80"/>
      </w:pPr>
      <w:r>
        <w:rPr>
          <w:rFonts w:ascii="Arial" w:cs="Arial" w:eastAsia="Arial" w:hAnsi="Arial"/>
          <w:color w:val="1A1A1A"/>
          <w:sz w:val="22"/>
          <w:szCs w:val="22"/>
        </w:rPr>
        <w:t xml:space="preserve">Staff must disclose to their manager and to the Information Officer any actual or potential conflict of interest before taking any action on the Platform involving that conflict. Conflicts include:</w:t>
      </w:r>
    </w:p>
    <w:p>
      <w:pPr>
        <w:pStyle w:val="ListParagraph"/>
        <w:numPr>
          <w:ilvl w:val="0"/>
          <w:numId w:val="2"/>
        </w:numPr>
        <w:spacing w:after="40" w:before="40"/>
      </w:pPr>
      <w:r>
        <w:rPr>
          <w:rFonts w:ascii="Arial" w:cs="Arial" w:eastAsia="Arial" w:hAnsi="Arial"/>
          <w:color w:val="1A1A1A"/>
          <w:sz w:val="22"/>
          <w:szCs w:val="22"/>
        </w:rPr>
        <w:t xml:space="preserve">a personal, family, or business relationship with a User, Seller, Buyer, Welfare Partner, or Breeder;</w:t>
      </w:r>
    </w:p>
    <w:p>
      <w:pPr>
        <w:pStyle w:val="ListParagraph"/>
        <w:numPr>
          <w:ilvl w:val="0"/>
          <w:numId w:val="2"/>
        </w:numPr>
        <w:spacing w:after="40" w:before="40"/>
      </w:pPr>
      <w:r>
        <w:rPr>
          <w:rFonts w:ascii="Arial" w:cs="Arial" w:eastAsia="Arial" w:hAnsi="Arial"/>
          <w:color w:val="1A1A1A"/>
          <w:sz w:val="22"/>
          <w:szCs w:val="22"/>
        </w:rPr>
        <w:t xml:space="preserve">a financial interest in any transaction facilitated through the Platform;</w:t>
      </w:r>
    </w:p>
    <w:p>
      <w:pPr>
        <w:pStyle w:val="ListParagraph"/>
        <w:numPr>
          <w:ilvl w:val="0"/>
          <w:numId w:val="2"/>
        </w:numPr>
        <w:spacing w:after="40" w:before="40"/>
      </w:pPr>
      <w:r>
        <w:rPr>
          <w:rFonts w:ascii="Arial" w:cs="Arial" w:eastAsia="Arial" w:hAnsi="Arial"/>
          <w:color w:val="1A1A1A"/>
          <w:sz w:val="22"/>
          <w:szCs w:val="22"/>
        </w:rPr>
        <w:t xml:space="preserve">a prior relationship with any User subject to a dispute, investigation, suspension, or ban.</w:t>
      </w:r>
    </w:p>
    <w:p>
      <w:pPr>
        <w:spacing w:after="80" w:before="80"/>
      </w:pPr>
      <w:r>
        <w:rPr>
          <w:rFonts w:ascii="Arial" w:cs="Arial" w:eastAsia="Arial" w:hAnsi="Arial"/>
          <w:color w:val="1A1A1A"/>
          <w:sz w:val="22"/>
          <w:szCs w:val="22"/>
        </w:rPr>
        <w:t xml:space="preserve">Disclosure must be made in writing. The Staff member must recuse themselves from any decision or action affected by the conflict and must not access related records without authorisation from a Super Admin.</w:t>
      </w:r>
    </w:p>
    <w:p>
      <w:pPr>
        <w:pStyle w:val="Heading2"/>
        <w:spacing w:after="120" w:before="280"/>
      </w:pPr>
      <w:r>
        <w:rPr>
          <w:rFonts w:ascii="Arial" w:cs="Arial" w:eastAsia="Arial" w:hAnsi="Arial"/>
          <w:b/>
          <w:bCs/>
          <w:color w:val="1A1A1A"/>
          <w:sz w:val="26"/>
          <w:szCs w:val="26"/>
        </w:rPr>
        <w:t xml:space="preserve">4.6  Maker-Checker Requirement</w:t>
      </w:r>
    </w:p>
    <w:p>
      <w:pPr>
        <w:spacing w:after="80" w:before="80"/>
      </w:pPr>
      <w:r>
        <w:rPr>
          <w:rFonts w:ascii="Arial" w:cs="Arial" w:eastAsia="Arial" w:hAnsi="Arial"/>
          <w:color w:val="1A1A1A"/>
          <w:sz w:val="22"/>
          <w:szCs w:val="22"/>
        </w:rPr>
        <w:t xml:space="preserve">The following actions require dual authorisation (maker-checker) and must be documented in the audit log:</w:t>
      </w:r>
    </w:p>
    <w:p>
      <w:pPr>
        <w:pStyle w:val="ListParagraph"/>
        <w:numPr>
          <w:ilvl w:val="0"/>
          <w:numId w:val="2"/>
        </w:numPr>
        <w:spacing w:after="40" w:before="40"/>
      </w:pPr>
      <w:r>
        <w:rPr>
          <w:rFonts w:ascii="Arial" w:cs="Arial" w:eastAsia="Arial" w:hAnsi="Arial"/>
          <w:color w:val="1A1A1A"/>
          <w:sz w:val="22"/>
          <w:szCs w:val="22"/>
        </w:rPr>
        <w:t>any payout release or payout hold above the ACTION REQUIRED threshold configured in the Board Delegations Register and Control Room before live use;</w:t>
      </w:r>
    </w:p>
    <w:p>
      <w:pPr>
        <w:pStyle w:val="ListParagraph"/>
        <w:numPr>
          <w:ilvl w:val="0"/>
          <w:numId w:val="2"/>
        </w:numPr>
        <w:spacing w:after="40" w:before="40"/>
      </w:pPr>
      <w:r>
        <w:rPr>
          <w:rFonts w:ascii="Arial" w:cs="Arial" w:eastAsia="Arial" w:hAnsi="Arial"/>
          <w:color w:val="1A1A1A"/>
          <w:sz w:val="22"/>
          <w:szCs w:val="22"/>
        </w:rPr>
        <w:t>any refund approval above the ACTION REQUIRED threshold configured in the Board Delegations Register and Control Room before live use;</w:t>
      </w:r>
    </w:p>
    <w:p>
      <w:pPr>
        <w:pStyle w:val="ListParagraph"/>
        <w:numPr>
          <w:ilvl w:val="0"/>
          <w:numId w:val="2"/>
        </w:numPr>
        <w:spacing w:after="40" w:before="40"/>
      </w:pPr>
      <w:r>
        <w:rPr>
          <w:rFonts w:ascii="Arial" w:cs="Arial" w:eastAsia="Arial" w:hAnsi="Arial"/>
          <w:color w:val="1A1A1A"/>
          <w:sz w:val="22"/>
          <w:szCs w:val="22"/>
        </w:rPr>
        <w:t xml:space="preserve">any permanent account ban;</w:t>
      </w:r>
    </w:p>
    <w:p>
      <w:pPr>
        <w:pStyle w:val="ListParagraph"/>
        <w:numPr>
          <w:ilvl w:val="0"/>
          <w:numId w:val="2"/>
        </w:numPr>
        <w:spacing w:after="40" w:before="40"/>
      </w:pPr>
      <w:r>
        <w:rPr>
          <w:rFonts w:ascii="Arial" w:cs="Arial" w:eastAsia="Arial" w:hAnsi="Arial"/>
          <w:color w:val="1A1A1A"/>
          <w:sz w:val="22"/>
          <w:szCs w:val="22"/>
        </w:rPr>
        <w:t xml:space="preserve">any role assignment at Admin level or above;</w:t>
      </w:r>
    </w:p>
    <w:p>
      <w:pPr>
        <w:pStyle w:val="ListParagraph"/>
        <w:numPr>
          <w:ilvl w:val="0"/>
          <w:numId w:val="2"/>
        </w:numPr>
        <w:spacing w:after="40" w:before="40"/>
      </w:pPr>
      <w:r>
        <w:rPr>
          <w:rFonts w:ascii="Arial" w:cs="Arial" w:eastAsia="Arial" w:hAnsi="Arial"/>
          <w:color w:val="1A1A1A"/>
          <w:sz w:val="22"/>
          <w:szCs w:val="22"/>
        </w:rPr>
        <w:t xml:space="preserve">any fee or pricing configuration change;</w:t>
      </w:r>
    </w:p>
    <w:p>
      <w:pPr>
        <w:pStyle w:val="ListParagraph"/>
        <w:numPr>
          <w:ilvl w:val="0"/>
          <w:numId w:val="2"/>
        </w:numPr>
        <w:spacing w:after="40" w:before="40"/>
      </w:pPr>
      <w:r>
        <w:rPr>
          <w:rFonts w:ascii="Arial" w:cs="Arial" w:eastAsia="Arial" w:hAnsi="Arial"/>
          <w:color w:val="1A1A1A"/>
          <w:sz w:val="22"/>
          <w:szCs w:val="22"/>
        </w:rPr>
        <w:t xml:space="preserve">any deletion of audit log entries (which is prohibited regardless of authorisation).</w:t>
      </w:r>
    </w:p>
    <w:p>
      <w:pPr>
        <w:pStyle w:val="Heading2"/>
        <w:spacing w:after="120" w:before="280"/>
      </w:pPr>
      <w:r>
        <w:rPr>
          <w:rFonts w:ascii="Arial" w:cs="Arial" w:eastAsia="Arial" w:hAnsi="Arial"/>
          <w:b/>
          <w:bCs/>
          <w:color w:val="1A1A1A"/>
          <w:sz w:val="26"/>
          <w:szCs w:val="26"/>
        </w:rPr>
        <w:t xml:space="preserve">4.7  Confidentiality</w:t>
      </w:r>
    </w:p>
    <w:p>
      <w:pPr>
        <w:spacing w:after="80" w:before="80"/>
      </w:pPr>
      <w:r>
        <w:rPr>
          <w:rFonts w:ascii="Arial" w:cs="Arial" w:eastAsia="Arial" w:hAnsi="Arial"/>
          <w:color w:val="1A1A1A"/>
          <w:sz w:val="22"/>
          <w:szCs w:val="22"/>
        </w:rPr>
        <w:t xml:space="preserve">Staff must maintain strict confidentiality of all User personal information, Platform data, financial information, compliance information, and internal operational information. Confidentiality obligations continue indefinitely after termination of employment or engagement, and are reinforced by the NDA or confidentiality provisions in the Staff member's employment or service agreement.</w:t>
      </w:r>
    </w:p>
    <w:p>
      <w:pPr>
        <w:pStyle w:val="Heading2"/>
        <w:spacing w:after="120" w:before="280"/>
      </w:pPr>
      <w:r>
        <w:rPr>
          <w:rFonts w:ascii="Arial" w:cs="Arial" w:eastAsia="Arial" w:hAnsi="Arial"/>
          <w:b/>
          <w:bCs/>
          <w:color w:val="1A1A1A"/>
          <w:sz w:val="26"/>
          <w:szCs w:val="26"/>
        </w:rPr>
        <w:t xml:space="preserve">4.8  Device and Remote Access Security</w:t>
      </w:r>
    </w:p>
    <w:p>
      <w:pPr>
        <w:spacing w:after="80" w:before="80"/>
      </w:pPr>
      <w:r>
        <w:rPr>
          <w:rFonts w:ascii="Arial" w:cs="Arial" w:eastAsia="Arial" w:hAnsi="Arial"/>
          <w:color w:val="1A1A1A"/>
          <w:sz w:val="22"/>
          <w:szCs w:val="22"/>
        </w:rPr>
        <w:t xml:space="preserve">Staff accessing ANIMEX systems remotely must use: ANIMEX-approved devices or devices meeting ANIMEX's security baseline; a secure VPN or encrypted connection; current operating system and security software with automated updates enabled; and full-disk encryption. Use of public Wi-Fi without a VPN to access production ANIMEX systems is prohibited.</w:t>
      </w:r>
    </w:p>
    <w:p>
      <w:pPr>
        <w:pStyle w:val="Heading2"/>
        <w:spacing w:after="120" w:before="280"/>
      </w:pPr>
      <w:r>
        <w:rPr>
          <w:rFonts w:ascii="Arial" w:cs="Arial" w:eastAsia="Arial" w:hAnsi="Arial"/>
          <w:b/>
          <w:bCs/>
          <w:color w:val="1A1A1A"/>
          <w:sz w:val="26"/>
          <w:szCs w:val="26"/>
        </w:rPr>
        <w:t xml:space="preserve">4.9  Breach of This Policy</w:t>
      </w:r>
    </w:p>
    <w:p>
      <w:pPr>
        <w:spacing w:after="80" w:before="80"/>
      </w:pPr>
      <w:r>
        <w:rPr>
          <w:rFonts w:ascii="Arial" w:cs="Arial" w:eastAsia="Arial" w:hAnsi="Arial"/>
          <w:color w:val="1A1A1A"/>
          <w:sz w:val="22"/>
          <w:szCs w:val="22"/>
        </w:rPr>
        <w:t xml:space="preserve">Breach of this Policy may result in: written warning; suspension or termination of employment or engagement; revocation of access; civil legal action; recovery of losses; referral to the SAPS, DPCI, the Information Regulator, or other authorities; and reporting to professional bodies where applicable.</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5.  Data Breach Response Plan</w:t>
      </w:r>
    </w:p>
    <w:p>
      <w:pPr>
        <w:pStyle w:val="Heading2"/>
        <w:spacing w:after="120" w:before="280"/>
      </w:pPr>
      <w:r>
        <w:rPr>
          <w:rFonts w:ascii="Arial" w:cs="Arial" w:eastAsia="Arial" w:hAnsi="Arial"/>
          <w:b/>
          <w:bCs/>
          <w:color w:val="1A1A1A"/>
          <w:sz w:val="26"/>
          <w:szCs w:val="26"/>
        </w:rPr>
        <w:t xml:space="preserve">5.1  Purpose and Legal Basis</w:t>
      </w:r>
    </w:p>
    <w:p>
      <w:pPr>
        <w:spacing w:after="80" w:before="80"/>
      </w:pPr>
      <w:r>
        <w:rPr>
          <w:rFonts w:ascii="Arial" w:cs="Arial" w:eastAsia="Arial" w:hAnsi="Arial"/>
          <w:color w:val="1A1A1A"/>
          <w:sz w:val="22"/>
          <w:szCs w:val="22"/>
        </w:rPr>
        <w:t xml:space="preserve">This plan governs ANIMEX's response to actual or suspected security compromises involving personal information, in compliance with section 22 of POPIA and applicable Information Regulator guidance. Non-compliance with section 22 may result in an Information Regulator investigation, enforcement notice, or administrative fine.</w:t>
      </w:r>
    </w:p>
    <w:p>
      <w:pPr>
        <w:pStyle w:val="Heading2"/>
        <w:spacing w:after="120" w:before="280"/>
      </w:pPr>
      <w:r>
        <w:rPr>
          <w:rFonts w:ascii="Arial" w:cs="Arial" w:eastAsia="Arial" w:hAnsi="Arial"/>
          <w:b/>
          <w:bCs/>
          <w:color w:val="1A1A1A"/>
          <w:sz w:val="26"/>
          <w:szCs w:val="26"/>
        </w:rPr>
        <w:t xml:space="preserve">5.2  Incident Classification Matrix</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Priority Level</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Initial Response Target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P1 - Critical</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Confirmed breach of large volume of personal information (1,000+ data subjects); confirmed breach of special personal information; confirmed breach of financial or payment data; ransomware or system takeover; breach caused by malicious insider</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Immediate (within 1 hour)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P2 - High</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Confirmed breach of personal information affecting 100-999 data subjects; suspected unauthorised access to production systems; confirmed breach of limited payment or banking data; data sent to wrong recipient</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2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P3 - Medium</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Suspected breach under investigation; unauthorised access attempt that may have succeeded; small-scale misdirected email with personal information (fewer than 100 data subjects)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4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P4 - Low</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Confirmed breach with minimal harm risk; accidental internal disclosure with no external exposure; technical anomaly with no confirmed data access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24 hours</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5.3  Response Team</w:t>
      </w:r>
    </w:p>
    <w:p>
      <w:pPr>
        <w:spacing w:after="80" w:before="80"/>
      </w:pPr>
      <w:r>
        <w:rPr>
          <w:rFonts w:ascii="Arial" w:cs="Arial" w:eastAsia="Arial" w:hAnsi="Arial"/>
          <w:color w:val="1A1A1A"/>
          <w:sz w:val="22"/>
          <w:szCs w:val="22"/>
        </w:rPr>
        <w:t xml:space="preserve">The Breach Response Team consists of:</w:t>
      </w:r>
    </w:p>
    <w:p>
      <w:pPr>
        <w:pStyle w:val="ListParagraph"/>
        <w:numPr>
          <w:ilvl w:val="0"/>
          <w:numId w:val="2"/>
        </w:numPr>
        <w:spacing w:after="40" w:before="40"/>
      </w:pPr>
      <w:r>
        <w:rPr>
          <w:rFonts w:ascii="Arial" w:cs="Arial" w:eastAsia="Arial" w:hAnsi="Arial"/>
          <w:color w:val="1A1A1A"/>
          <w:sz w:val="22"/>
          <w:szCs w:val="22"/>
        </w:rPr>
        <w:t>Information Officer - lead coordinator and regulatory notification authority;</w:t>
      </w:r>
    </w:p>
    <w:p>
      <w:pPr>
        <w:pStyle w:val="ListParagraph"/>
        <w:numPr>
          <w:ilvl w:val="0"/>
          <w:numId w:val="2"/>
        </w:numPr>
        <w:spacing w:after="40" w:before="40"/>
      </w:pPr>
      <w:r>
        <w:rPr>
          <w:rFonts w:ascii="Arial" w:cs="Arial" w:eastAsia="Arial" w:hAnsi="Arial"/>
          <w:color w:val="1A1A1A"/>
          <w:sz w:val="22"/>
          <w:szCs w:val="22"/>
        </w:rPr>
        <w:t>CEO or delegated director - decision authority for external communications and regulatory escalation;</w:t>
      </w:r>
    </w:p>
    <w:p>
      <w:pPr>
        <w:pStyle w:val="ListParagraph"/>
        <w:numPr>
          <w:ilvl w:val="0"/>
          <w:numId w:val="2"/>
        </w:numPr>
        <w:spacing w:after="40" w:before="40"/>
      </w:pPr>
      <w:r>
        <w:rPr>
          <w:rFonts w:ascii="Arial" w:cs="Arial" w:eastAsia="Arial" w:hAnsi="Arial"/>
          <w:color w:val="1A1A1A"/>
          <w:sz w:val="22"/>
          <w:szCs w:val="22"/>
        </w:rPr>
        <w:t>Lead Developer / CTO - technical investigation and containment;</w:t>
      </w:r>
    </w:p>
    <w:p>
      <w:pPr>
        <w:pStyle w:val="ListParagraph"/>
        <w:numPr>
          <w:ilvl w:val="0"/>
          <w:numId w:val="2"/>
        </w:numPr>
        <w:spacing w:after="40" w:before="40"/>
      </w:pPr>
      <w:r>
        <w:rPr>
          <w:rFonts w:ascii="Arial" w:cs="Arial" w:eastAsia="Arial" w:hAnsi="Arial"/>
          <w:color w:val="1A1A1A"/>
          <w:sz w:val="22"/>
          <w:szCs w:val="22"/>
        </w:rPr>
        <w:t>Legal Adviser - legal privilege assessment, regulatory strategy, and advice on notification scope;</w:t>
      </w:r>
    </w:p>
    <w:p>
      <w:pPr>
        <w:pStyle w:val="ListParagraph"/>
        <w:numPr>
          <w:ilvl w:val="0"/>
          <w:numId w:val="2"/>
        </w:numPr>
        <w:spacing w:after="40" w:before="40"/>
      </w:pPr>
      <w:r>
        <w:rPr>
          <w:rFonts w:ascii="Arial" w:cs="Arial" w:eastAsia="Arial" w:hAnsi="Arial"/>
          <w:color w:val="1A1A1A"/>
          <w:sz w:val="22"/>
          <w:szCs w:val="22"/>
        </w:rPr>
        <w:t>Support Lead - User communication and escalation management.</w:t>
      </w:r>
    </w:p>
    <w:p>
      <w:pPr>
        <w:pStyle w:val="Heading2"/>
        <w:spacing w:after="120" w:before="280"/>
      </w:pPr>
      <w:r>
        <w:rPr>
          <w:rFonts w:ascii="Arial" w:cs="Arial" w:eastAsia="Arial" w:hAnsi="Arial"/>
          <w:b/>
          <w:bCs/>
          <w:color w:val="1A1A1A"/>
          <w:sz w:val="26"/>
          <w:szCs w:val="26"/>
        </w:rPr>
        <w:t xml:space="preserve">5.4  Response Steps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3826"/>
      </w:tblGrid>
      <w:tr>
        <w:tc>
          <w:tcPr>
            <w:tcW w:type="dxa" w:w="2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28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Actions</w:t>
            </w:r>
          </w:p>
        </w:tc>
        <w:tc>
          <w:tcPr>
            <w:tcW w:type="dxa" w:w="38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Timeline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Detection and reporting</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Staff member detects or suspects breach and reports to Information Officer at info@animexofficial.co.za within 1 hour. Information Officer notifies Breach Response Team.</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1 hour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Containment</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 Lead Developer identifies the breach vector and takes immediate steps to contain: revoke compromised credentials, isolate affected systems, block attack vector, preserve forensic evidence.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2-4 hours (P1/P2); 24 hours (P3/P4)</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Assessment</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Breach Response Team assesses: nature of the compromise; categories and estimated number of data subjects affected; risk of harm to data subjects; whether special personal information is involved.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4-12 hours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Legal Privilege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Legal Adviser advises on whether to assert privilege over investigation documents. All communications during investigation to be marked 'Confidential - Subject to Legal Privilege'.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Concurrent with assessment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Regulator notification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If there are reasonable grounds to believe data subjects may be adversely affected: Information Officer notifies the Information Regulator as soon as reasonably possible. Target: as soon as reasonably possible after discovery of the compromise; internal target within 72 hours of confirmation where practicable, but 72 hours is not stated as the statutory POPIA deadline.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As soon as reasonably possible; internal target within 72 hours of confirmation where practicable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Data subject notification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Affected data subjects notified as soon as reasonably possible unless Information Regulator advises otherwise. Notification to include: nature of breach; categories of data; steps ANIMEX is taking; recommended steps for data subjects.</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As soon as practicable after Regulator notification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Remediation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CTO implements technical remediation: patch, rebuild, access control update, monitoring enhancement. Legal Adviser advises on contractual and regulatory obligations. Operator / sub-operator breach notifications actioned.</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1-5 business days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Post-incident review</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Breach Response Team conducts post-incident review within 14 days: root cause analysis; lessons learned; policy and security improvements; regulatory follow-up.</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14 days post-incident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Record keeping</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Incident log completed with all details. Retained for 5 years per Records Retention Schedule.</w:t>
            </w:r>
          </w:p>
        </w:tc>
        <w:tc>
          <w:tcPr>
            <w:tcW w:type="dxa" w:w="3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Ongoing</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5.5  Information Regulator Notification Content</w:t>
      </w:r>
    </w:p>
    <w:p>
      <w:pPr>
        <w:spacing w:after="80" w:before="80"/>
      </w:pPr>
      <w:r>
        <w:rPr>
          <w:rFonts w:ascii="Arial" w:cs="Arial" w:eastAsia="Arial" w:hAnsi="Arial"/>
          <w:color w:val="1A1A1A"/>
          <w:sz w:val="22"/>
          <w:szCs w:val="22"/>
        </w:rPr>
        <w:t>The notification to the Information Regulator should include:</w:t>
      </w:r>
    </w:p>
    <w:p>
      <w:pPr>
        <w:pStyle w:val="ListParagraph"/>
        <w:numPr>
          <w:ilvl w:val="0"/>
          <w:numId w:val="2"/>
        </w:numPr>
        <w:spacing w:after="40" w:before="40"/>
      </w:pPr>
      <w:r>
        <w:rPr>
          <w:rFonts w:ascii="Arial" w:cs="Arial" w:eastAsia="Arial" w:hAnsi="Arial"/>
          <w:color w:val="1A1A1A"/>
          <w:sz w:val="22"/>
          <w:szCs w:val="22"/>
        </w:rPr>
        <w:t xml:space="preserve">ANIMEX's responsible party information (company name, registration number, address, Information Officer details);</w:t>
      </w:r>
    </w:p>
    <w:p>
      <w:pPr>
        <w:pStyle w:val="ListParagraph"/>
        <w:numPr>
          <w:ilvl w:val="0"/>
          <w:numId w:val="2"/>
        </w:numPr>
        <w:spacing w:after="40" w:before="40"/>
      </w:pPr>
      <w:r>
        <w:rPr>
          <w:rFonts w:ascii="Arial" w:cs="Arial" w:eastAsia="Arial" w:hAnsi="Arial"/>
          <w:color w:val="1A1A1A"/>
          <w:sz w:val="22"/>
          <w:szCs w:val="22"/>
        </w:rPr>
        <w:t xml:space="preserve">the date on which the compromise was discovered;</w:t>
      </w:r>
    </w:p>
    <w:p>
      <w:pPr>
        <w:pStyle w:val="ListParagraph"/>
        <w:numPr>
          <w:ilvl w:val="0"/>
          <w:numId w:val="2"/>
        </w:numPr>
        <w:spacing w:after="40" w:before="40"/>
      </w:pPr>
      <w:r>
        <w:rPr>
          <w:rFonts w:ascii="Arial" w:cs="Arial" w:eastAsia="Arial" w:hAnsi="Arial"/>
          <w:color w:val="1A1A1A"/>
          <w:sz w:val="22"/>
          <w:szCs w:val="22"/>
        </w:rPr>
        <w:t xml:space="preserve">a description of the nature of the compromise (intrusion, accidental disclosure, insider breach, etc.);</w:t>
      </w:r>
    </w:p>
    <w:p>
      <w:pPr>
        <w:pStyle w:val="ListParagraph"/>
        <w:numPr>
          <w:ilvl w:val="0"/>
          <w:numId w:val="2"/>
        </w:numPr>
        <w:spacing w:after="40" w:before="40"/>
      </w:pPr>
      <w:r>
        <w:rPr>
          <w:rFonts w:ascii="Arial" w:cs="Arial" w:eastAsia="Arial" w:hAnsi="Arial"/>
          <w:color w:val="1A1A1A"/>
          <w:sz w:val="22"/>
          <w:szCs w:val="22"/>
        </w:rPr>
        <w:t xml:space="preserve">the categories and estimated number of data subjects affected;</w:t>
      </w:r>
    </w:p>
    <w:p>
      <w:pPr>
        <w:pStyle w:val="ListParagraph"/>
        <w:numPr>
          <w:ilvl w:val="0"/>
          <w:numId w:val="2"/>
        </w:numPr>
        <w:spacing w:after="40" w:before="40"/>
      </w:pPr>
      <w:r>
        <w:rPr>
          <w:rFonts w:ascii="Arial" w:cs="Arial" w:eastAsia="Arial" w:hAnsi="Arial"/>
          <w:color w:val="1A1A1A"/>
          <w:sz w:val="22"/>
          <w:szCs w:val="22"/>
        </w:rPr>
        <w:t xml:space="preserve">the categories of personal information affected;</w:t>
      </w:r>
    </w:p>
    <w:p>
      <w:pPr>
        <w:pStyle w:val="ListParagraph"/>
        <w:numPr>
          <w:ilvl w:val="0"/>
          <w:numId w:val="2"/>
        </w:numPr>
        <w:spacing w:after="40" w:before="40"/>
      </w:pPr>
      <w:r>
        <w:rPr>
          <w:rFonts w:ascii="Arial" w:cs="Arial" w:eastAsia="Arial" w:hAnsi="Arial"/>
          <w:color w:val="1A1A1A"/>
          <w:sz w:val="22"/>
          <w:szCs w:val="22"/>
        </w:rPr>
        <w:t xml:space="preserve">the likely consequences of the compromise;</w:t>
      </w:r>
    </w:p>
    <w:p>
      <w:pPr>
        <w:pStyle w:val="ListParagraph"/>
        <w:numPr>
          <w:ilvl w:val="0"/>
          <w:numId w:val="2"/>
        </w:numPr>
        <w:spacing w:after="40" w:before="40"/>
      </w:pPr>
      <w:r>
        <w:rPr>
          <w:rFonts w:ascii="Arial" w:cs="Arial" w:eastAsia="Arial" w:hAnsi="Arial"/>
          <w:color w:val="1A1A1A"/>
          <w:sz w:val="22"/>
          <w:szCs w:val="22"/>
        </w:rPr>
        <w:t xml:space="preserve">the measures taken or proposed to address the compromise and mitigate its effects.</w:t>
      </w:r>
    </w:p>
    <w:p>
      <w:pPr>
        <w:shd w:fill="EEF4FB" w:val="clear"/>
        <w:spacing w:after="80" w:before="80"/>
        <w:ind w:left="360" w:right="360"/>
      </w:pPr>
      <w:r>
        <w:rPr>
          <w:rFonts w:ascii="Arial" w:cs="Arial" w:eastAsia="Arial" w:hAnsi="Arial"/>
          <w:i/>
          <w:iCs/>
          <w:color w:val="2F5496"/>
          <w:sz w:val="20"/>
          <w:szCs w:val="20"/>
        </w:rPr>
        <w:t xml:space="preserve">INTERNAL NOTE: The Information Regulator may prescribe a form or electronic notification portal. ANIMEX's Information Officer must monitor the Information Regulator's website for updates to the notification procedure.</w:t>
      </w:r>
    </w:p>
    <w:p>
      <w:pPr>
        <w:pStyle w:val="Heading2"/>
        <w:spacing w:after="120" w:before="280"/>
      </w:pPr>
      <w:r>
        <w:rPr>
          <w:rFonts w:ascii="Arial" w:cs="Arial" w:eastAsia="Arial" w:hAnsi="Arial"/>
          <w:b/>
          <w:bCs/>
          <w:color w:val="1A1A1A"/>
          <w:sz w:val="26"/>
          <w:szCs w:val="26"/>
        </w:rPr>
        <w:t xml:space="preserve">5.6  Data Subject Notification Template</w:t>
      </w:r>
    </w:p>
    <w:p>
      <w:pPr>
        <w:spacing w:after="80" w:before="200"/>
      </w:pPr>
      <w:r>
        <w:rPr>
          <w:rFonts w:ascii="Arial" w:cs="Arial" w:eastAsia="Arial" w:hAnsi="Arial"/>
          <w:b/>
          <w:bCs/>
          <w:color w:val="1A1A1A"/>
          <w:sz w:val="22"/>
          <w:szCs w:val="22"/>
          <w:u w:val="single"/>
        </w:rPr>
        <w:t>Subject: Important Notice - ANIMEX Security Incident</w:t>
      </w:r>
    </w:p>
    <w:p>
      <w:pPr>
        <w:spacing w:after="80" w:before="80"/>
      </w:pPr>
      <w:r>
        <w:rPr>
          <w:rFonts w:ascii="Arial" w:cs="Arial" w:eastAsia="Arial" w:hAnsi="Arial"/>
          <w:color w:val="1A1A1A"/>
          <w:sz w:val="22"/>
          <w:szCs w:val="22"/>
        </w:rPr>
        <w:t>TEMPLATE FIELD: date</w:t>
      </w:r>
    </w:p>
    <w:p>
      <w:pPr>
        <w:spacing w:after="80" w:before="80"/>
      </w:pPr>
      <w:r>
        <w:rPr>
          <w:rFonts w:ascii="Arial" w:cs="Arial" w:eastAsia="Arial" w:hAnsi="Arial"/>
          <w:color w:val="1A1A1A"/>
          <w:sz w:val="22"/>
          <w:szCs w:val="22"/>
        </w:rPr>
        <w:t>Dear User name,</w:t>
      </w:r>
    </w:p>
    <w:p>
      <w:pPr>
        <w:spacing w:after="80" w:before="80"/>
      </w:pPr>
      <w:r>
        <w:rPr>
          <w:rFonts w:ascii="Arial" w:cs="Arial" w:eastAsia="Arial" w:hAnsi="Arial"/>
          <w:color w:val="1A1A1A"/>
          <w:sz w:val="22"/>
          <w:szCs w:val="22"/>
        </w:rPr>
        <w:t>We are writing to inform you that ANIMEX experienced a security incident on TEMPLATE FIELD: date that may have affected your personal information.</w:t>
      </w:r>
    </w:p>
    <w:p>
      <w:pPr>
        <w:spacing w:after="80" w:before="80"/>
      </w:pPr>
      <w:r>
        <w:rPr>
          <w:rFonts w:ascii="Arial" w:cs="Arial" w:eastAsia="Arial" w:hAnsi="Arial"/>
          <w:color w:val="1A1A1A"/>
          <w:sz w:val="22"/>
          <w:szCs w:val="22"/>
        </w:rPr>
        <w:t>What happened: TEMPLATE FIELD: brief factual incident description</w:t>
      </w:r>
    </w:p>
    <w:p>
      <w:pPr>
        <w:spacing w:after="80" w:before="80"/>
      </w:pPr>
      <w:r>
        <w:rPr>
          <w:rFonts w:ascii="Arial" w:cs="Arial" w:eastAsia="Arial" w:hAnsi="Arial"/>
          <w:color w:val="1A1A1A"/>
          <w:sz w:val="22"/>
          <w:szCs w:val="22"/>
        </w:rPr>
        <w:t>Information that may have been affected: TEMPLATE FIELD: categories of personal information affected</w:t>
      </w:r>
    </w:p>
    <w:p>
      <w:pPr>
        <w:spacing w:after="80" w:before="80"/>
      </w:pPr>
      <w:r>
        <w:rPr>
          <w:rFonts w:ascii="Arial" w:cs="Arial" w:eastAsia="Arial" w:hAnsi="Arial"/>
          <w:color w:val="1A1A1A"/>
          <w:sz w:val="22"/>
          <w:szCs w:val="22"/>
        </w:rPr>
        <w:t>What we are doing: TEMPLATE FIELD: containment and remediation steps taken</w:t>
      </w:r>
    </w:p>
    <w:p>
      <w:pPr>
        <w:spacing w:after="80" w:before="80"/>
      </w:pPr>
      <w:r>
        <w:rPr>
          <w:rFonts w:ascii="Arial" w:cs="Arial" w:eastAsia="Arial" w:hAnsi="Arial"/>
          <w:color w:val="1A1A1A"/>
          <w:sz w:val="22"/>
          <w:szCs w:val="22"/>
        </w:rPr>
        <w:t>What you should do: We recommend that you TEMPLATE FIELD: recommended protective steps for affected user.</w:t>
      </w:r>
    </w:p>
    <w:p>
      <w:pPr>
        <w:spacing w:after="80" w:before="80"/>
      </w:pPr>
      <w:r>
        <w:rPr>
          <w:rFonts w:ascii="Arial" w:cs="Arial" w:eastAsia="Arial" w:hAnsi="Arial"/>
          <w:color w:val="1A1A1A"/>
          <w:sz w:val="22"/>
          <w:szCs w:val="22"/>
        </w:rPr>
        <w:t>Contact: If you have any questions, please contact our Information Officer at info@animexofficial.co.za or +27 78 989 6683.</w:t>
      </w:r>
    </w:p>
    <w:p>
      <w:pPr>
        <w:spacing w:after="80" w:before="80"/>
      </w:pPr>
      <w:r>
        <w:rPr>
          <w:rFonts w:ascii="Arial" w:cs="Arial" w:eastAsia="Arial" w:hAnsi="Arial"/>
          <w:color w:val="1A1A1A"/>
          <w:sz w:val="22"/>
          <w:szCs w:val="22"/>
        </w:rPr>
        <w:t xml:space="preserve">We apologise for any concern or inconvenience caused.</w:t>
      </w:r>
    </w:p>
    <w:p>
      <w:pPr>
        <w:spacing w:after="80" w:before="80"/>
      </w:pPr>
      <w:r>
        <w:rPr>
          <w:rFonts w:ascii="Arial" w:cs="Arial" w:eastAsia="Arial" w:hAnsi="Arial"/>
          <w:color w:val="1A1A1A"/>
          <w:sz w:val="22"/>
          <w:szCs w:val="22"/>
        </w:rPr>
        <w:t xml:space="preserve">Regards,</w:t>
      </w:r>
    </w:p>
    <w:p>
      <w:pPr>
        <w:spacing w:after="80" w:before="80"/>
      </w:pPr>
      <w:r>
        <w:rPr>
          <w:rFonts w:ascii="Arial" w:cs="Arial" w:eastAsia="Arial" w:hAnsi="Arial"/>
          <w:color w:val="1A1A1A"/>
          <w:sz w:val="22"/>
          <w:szCs w:val="22"/>
        </w:rPr>
        <w:t>Yusuf Cassim (Director and head of ANIMEX (Pty) Ltd)</w:t>
      </w:r>
    </w:p>
    <w:p>
      <w:pPr>
        <w:spacing w:after="80" w:before="80"/>
      </w:pPr>
      <w:r>
        <w:rPr>
          <w:rFonts w:ascii="Arial" w:cs="Arial" w:eastAsia="Arial" w:hAnsi="Arial"/>
          <w:color w:val="1A1A1A"/>
          <w:sz w:val="22"/>
          <w:szCs w:val="22"/>
        </w:rPr>
        <w:t xml:space="preserve">Information Officer, ANIMEX</w:t>
      </w:r>
    </w:p>
    <w:p>
      <w:pPr>
        <w:spacing w:after="60" w:before="60"/>
      </w:pPr>
      <w:r>
        <w:t xml:space="preserve"/>
      </w:r>
    </w:p>
    <w:p>
      <w:pPr>
        <w:pStyle w:val="Heading2"/>
        <w:spacing w:after="120" w:before="280"/>
      </w:pPr>
      <w:r>
        <w:rPr>
          <w:rFonts w:ascii="Arial" w:cs="Arial" w:eastAsia="Arial" w:hAnsi="Arial"/>
          <w:b/>
          <w:bCs/>
          <w:color w:val="1A1A1A"/>
          <w:sz w:val="26"/>
          <w:szCs w:val="26"/>
        </w:rPr>
        <w:t xml:space="preserve">5.7  Records and Learning</w:t>
      </w:r>
    </w:p>
    <w:p>
      <w:pPr>
        <w:spacing w:after="80" w:before="80"/>
      </w:pPr>
      <w:r>
        <w:rPr>
          <w:rFonts w:ascii="Arial" w:cs="Arial" w:eastAsia="Arial" w:hAnsi="Arial"/>
          <w:color w:val="1A1A1A"/>
          <w:sz w:val="22"/>
          <w:szCs w:val="22"/>
        </w:rPr>
        <w:t>All breach incidents - including P4 low-risk incidents - must be recorded in ANIMEX's Incident Register, maintained by the Information Officer, and retained for 5 (five) years. Post-incident improvements must be documented and their implementation tracked.</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6.  FICA / AML Risk Policy</w:t>
      </w:r>
    </w:p>
    <w:p>
      <w:pPr>
        <w:pStyle w:val="Heading2"/>
        <w:spacing w:after="120" w:before="280"/>
      </w:pPr>
      <w:r>
        <w:rPr>
          <w:rFonts w:ascii="Arial" w:cs="Arial" w:eastAsia="Arial" w:hAnsi="Arial"/>
          <w:b/>
          <w:bCs/>
          <w:color w:val="1A1A1A"/>
          <w:sz w:val="26"/>
          <w:szCs w:val="26"/>
        </w:rPr>
        <w:t xml:space="preserve">6.1  Purpose</w:t>
      </w:r>
    </w:p>
    <w:p>
      <w:pPr>
        <w:spacing w:after="80" w:before="80"/>
      </w:pPr>
      <w:r>
        <w:rPr>
          <w:rFonts w:ascii="Arial" w:cs="Arial" w:eastAsia="Arial" w:hAnsi="Arial"/>
          <w:color w:val="1A1A1A"/>
          <w:sz w:val="22"/>
          <w:szCs w:val="22"/>
        </w:rPr>
        <w:t xml:space="preserve">This policy governs ANIMEX's anti-money laundering (AML) and counter-terrorist financing (CTF) risk management obligations in connection with the Platform. ANIMEX takes seriously its obligation to prevent the Platform from being used to launder money, finance terrorism, or otherwise facilitate financial crime.</w:t>
      </w:r>
    </w:p>
    <w:p>
      <w:pPr>
        <w:pStyle w:val="Heading2"/>
        <w:spacing w:after="120" w:before="280"/>
      </w:pPr>
      <w:r>
        <w:rPr>
          <w:rFonts w:ascii="Arial" w:cs="Arial" w:eastAsia="Arial" w:hAnsi="Arial"/>
          <w:b/>
          <w:bCs/>
          <w:color w:val="1A1A1A"/>
          <w:sz w:val="26"/>
          <w:szCs w:val="26"/>
        </w:rPr>
        <w:t xml:space="preserve">6.2  ANIMEX's Position Under the FIC Act</w:t>
      </w:r>
    </w:p>
    <w:p>
      <w:pPr>
        <w:spacing w:after="80" w:before="80"/>
      </w:pPr>
      <w:r>
        <w:rPr>
          <w:rFonts w:ascii="Arial" w:cs="Arial" w:eastAsia="Arial" w:hAnsi="Arial"/>
          <w:color w:val="1A1A1A"/>
          <w:sz w:val="22"/>
          <w:szCs w:val="22"/>
        </w:rPr>
        <w:t>The Financial Intelligence Centre Act 38 of 2001 (FIC Act) establishes obligations for accountable institutions and reporting institutions. Payment processing on the Platform is performed by the Payment Provider (PayFast), which independently applies its own payment-system and FIC Act compliance obligations where applicable. ANIMEX separately monitors its own FIC Act classification and applies risk-based financial-crime controls proportionate to its marketplace role.</w:t>
      </w:r>
    </w:p>
    <w:p>
      <w:pPr>
        <w:spacing w:after="80" w:before="80"/>
      </w:pPr>
      <w:r>
        <w:rPr>
          <w:rFonts w:ascii="Arial" w:cs="Arial" w:eastAsia="Arial" w:hAnsi="Arial"/>
          <w:color w:val="1A1A1A"/>
          <w:sz w:val="22"/>
          <w:szCs w:val="22"/>
        </w:rPr>
        <w:t xml:space="preserve">ANIMEX monitors its own classification under the FIC Act and will apply proportionate controls appropriate to its risk profile. If ANIMEX's activities result in it becoming an accountable institution, ANIMEX will immediately register with the Financial Intelligence Centre (FIC), appoint a Compliance Officer, and implement a full FIC Act compliance programme.</w:t>
      </w:r>
    </w:p>
    <w:p>
      <w:pPr>
        <w:pStyle w:val="Heading2"/>
        <w:spacing w:after="120" w:before="280"/>
      </w:pPr>
      <w:r>
        <w:rPr>
          <w:rFonts w:ascii="Arial" w:cs="Arial" w:eastAsia="Arial" w:hAnsi="Arial"/>
          <w:b/>
          <w:bCs/>
          <w:color w:val="1A1A1A"/>
          <w:sz w:val="26"/>
          <w:szCs w:val="26"/>
        </w:rPr>
        <w:t xml:space="preserve">6.3  Risk-Based Controls</w:t>
      </w:r>
    </w:p>
    <w:p>
      <w:pPr>
        <w:spacing w:after="80" w:before="80"/>
      </w:pPr>
      <w:r>
        <w:rPr>
          <w:rFonts w:ascii="Arial" w:cs="Arial" w:eastAsia="Arial" w:hAnsi="Arial"/>
          <w:color w:val="1A1A1A"/>
          <w:sz w:val="22"/>
          <w:szCs w:val="22"/>
        </w:rPr>
        <w:t xml:space="preserve">Regardless of accountable institution status, ANIMEX applies the following risk-based controls:</w:t>
      </w:r>
    </w:p>
    <w:p>
      <w:pPr>
        <w:pStyle w:val="ListParagraph"/>
        <w:numPr>
          <w:ilvl w:val="0"/>
          <w:numId w:val="2"/>
        </w:numPr>
        <w:spacing w:after="40" w:before="40"/>
      </w:pPr>
      <w:r>
        <w:rPr>
          <w:rFonts w:ascii="Arial" w:cs="Arial" w:eastAsia="Arial" w:hAnsi="Arial"/>
          <w:color w:val="1A1A1A"/>
          <w:sz w:val="22"/>
          <w:szCs w:val="22"/>
        </w:rPr>
        <w:t xml:space="preserve">identity verification of Users before enabling Secure Checkout and payout features;</w:t>
      </w:r>
    </w:p>
    <w:p>
      <w:pPr>
        <w:pStyle w:val="ListParagraph"/>
        <w:numPr>
          <w:ilvl w:val="0"/>
          <w:numId w:val="2"/>
        </w:numPr>
        <w:spacing w:after="40" w:before="40"/>
      </w:pPr>
      <w:r>
        <w:rPr>
          <w:rFonts w:ascii="Arial" w:cs="Arial" w:eastAsia="Arial" w:hAnsi="Arial"/>
          <w:color w:val="1A1A1A"/>
          <w:sz w:val="22"/>
          <w:szCs w:val="22"/>
        </w:rPr>
        <w:t xml:space="preserve">bank account verification before processing payouts;</w:t>
      </w:r>
    </w:p>
    <w:p>
      <w:pPr>
        <w:pStyle w:val="ListParagraph"/>
        <w:numPr>
          <w:ilvl w:val="0"/>
          <w:numId w:val="2"/>
        </w:numPr>
        <w:spacing w:after="40" w:before="40"/>
      </w:pPr>
      <w:r>
        <w:rPr>
          <w:rFonts w:ascii="Arial" w:cs="Arial" w:eastAsia="Arial" w:hAnsi="Arial"/>
          <w:color w:val="1A1A1A"/>
          <w:sz w:val="22"/>
          <w:szCs w:val="22"/>
        </w:rPr>
        <w:t xml:space="preserve">transaction monitoring for unusual patterns (velocity, amount spikes, geographic anomalies);</w:t>
      </w:r>
    </w:p>
    <w:p>
      <w:pPr>
        <w:pStyle w:val="ListParagraph"/>
        <w:numPr>
          <w:ilvl w:val="0"/>
          <w:numId w:val="2"/>
        </w:numPr>
        <w:spacing w:after="40" w:before="40"/>
      </w:pPr>
      <w:r>
        <w:rPr>
          <w:rFonts w:ascii="Arial" w:cs="Arial" w:eastAsia="Arial" w:hAnsi="Arial"/>
          <w:color w:val="1A1A1A"/>
          <w:sz w:val="22"/>
          <w:szCs w:val="22"/>
        </w:rPr>
        <w:t xml:space="preserve">sanctions screening of Users against applicable sanctions lists;</w:t>
      </w:r>
    </w:p>
    <w:p>
      <w:pPr>
        <w:pStyle w:val="ListParagraph"/>
        <w:numPr>
          <w:ilvl w:val="0"/>
          <w:numId w:val="2"/>
        </w:numPr>
        <w:spacing w:after="40" w:before="40"/>
      </w:pPr>
      <w:r>
        <w:rPr>
          <w:rFonts w:ascii="Arial" w:cs="Arial" w:eastAsia="Arial" w:hAnsi="Arial"/>
          <w:color w:val="1A1A1A"/>
          <w:sz w:val="22"/>
          <w:szCs w:val="22"/>
        </w:rPr>
        <w:t>enhanced scrutiny for high-value transactions above the ACTION REQUIRED threshold configured in the Board Delegations Register and Control Room before live use;</w:t>
      </w:r>
    </w:p>
    <w:p>
      <w:pPr>
        <w:pStyle w:val="ListParagraph"/>
        <w:numPr>
          <w:ilvl w:val="0"/>
          <w:numId w:val="2"/>
        </w:numPr>
        <w:spacing w:after="40" w:before="40"/>
      </w:pPr>
      <w:r>
        <w:rPr>
          <w:rFonts w:ascii="Arial" w:cs="Arial" w:eastAsia="Arial" w:hAnsi="Arial"/>
          <w:color w:val="1A1A1A"/>
          <w:sz w:val="22"/>
          <w:szCs w:val="22"/>
        </w:rPr>
        <w:t xml:space="preserve">fraud and AML risk scoring on all Secure Checkout transactions;</w:t>
      </w:r>
    </w:p>
    <w:p>
      <w:pPr>
        <w:pStyle w:val="ListParagraph"/>
        <w:numPr>
          <w:ilvl w:val="0"/>
          <w:numId w:val="2"/>
        </w:numPr>
        <w:spacing w:after="40" w:before="40"/>
      </w:pPr>
      <w:r>
        <w:rPr>
          <w:rFonts w:ascii="Arial" w:cs="Arial" w:eastAsia="Arial" w:hAnsi="Arial"/>
          <w:color w:val="1A1A1A"/>
          <w:sz w:val="22"/>
          <w:szCs w:val="22"/>
        </w:rPr>
        <w:t xml:space="preserve">blocking of anonymous or unverified payment methods.</w:t>
      </w:r>
    </w:p>
    <w:p>
      <w:pPr>
        <w:pStyle w:val="Heading2"/>
        <w:spacing w:after="120" w:before="280"/>
      </w:pPr>
      <w:r>
        <w:rPr>
          <w:rFonts w:ascii="Arial" w:cs="Arial" w:eastAsia="Arial" w:hAnsi="Arial"/>
          <w:b/>
          <w:bCs/>
          <w:color w:val="1A1A1A"/>
          <w:sz w:val="26"/>
          <w:szCs w:val="26"/>
        </w:rPr>
        <w:t xml:space="preserve">6.4  Transaction Monitoring Thresholds</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Trigger</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Response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Single transaction above ACTION REQUIRED: insert approved Rand amount from the live Fee Schedule or Delegations Register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Manual review required before payout release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Cumulative transactions by single User above ACTION REQUIRED: insert approved Rand amount from the live Fee Schedule or Delegations Register in 30 days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Enhanced due diligence review</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Pattern of structuring (multiple transactions just below thresholds)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AML alert - refer to Compliance Officer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Transactions involving sanctioned individuals or jurisdictions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Block transaction - refer to Compliance Officer - potential STR filing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Unexplained high-volume multiple-species listings by new User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Risk flag - manual Listing review and identity verification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Payout to bank account not matching verified User identity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Block payout - request updated verification</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6.5  Red Flag Indicators and Escalation Matrix</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Red Flag</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Response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User refuses to provide identity documents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Decline service - notify Compliance Officer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Inconsistent identity information across documents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Suspend account - verify before reinstatement - notify Compliance Officer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Payout requested to a third-party account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Block - require verified account matching User identity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Same Animal listed multiple times at varying prices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Fraud flag - manual review - escalate if pattern confirmed</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Unusual volume of off-market or below-market exotic Animal listings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Welfare and AML review - notify Compliance Officer - potential TOPS/CITES report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Transaction involving a politically exposed person (PEP)</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Enhanced due diligence - refer to Compliance Officer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Chargeback rate above ACTION REQUIRED: insert approved percentage from the Risk Appetite Statement or Control Room configuration of transactions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Suspend Seller pending investigation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Suspected use of Platform to distribute wildlife trafficking proceeds</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r>
              <w:rPr>
                <w:rFonts w:ascii="Arial" w:cs="Arial" w:eastAsia="Arial" w:hAnsi="Arial"/>
                <w:b w:val="false"/>
                <w:bCs w:val="false"/>
                <w:color w:val="1A1A1A"/>
                <w:sz w:val="20"/>
                <w:szCs w:val="20"/>
              </w:rPr>
              <w:t>Immediate account suspension - notify Compliance Officer - consider STR to FIC</w:t>
            </w:r>
          </w:p>
        </w:tc>
      </w:tr>
    </w:tbl>
    <w:p>
      <w:pPr>
        <w:spacing w:after="60" w:before="60"/>
      </w:pPr>
      <w:r>
        <w:t xml:space="preserve"/>
      </w:r>
    </w:p>
    <w:p>
      <w:pPr>
        <w:pStyle w:val="Heading2"/>
        <w:spacing w:after="120" w:before="280"/>
      </w:pPr>
      <w:r>
        <w:rPr>
          <w:rFonts w:ascii="Arial" w:cs="Arial" w:eastAsia="Arial" w:hAnsi="Arial"/>
          <w:b/>
          <w:bCs/>
          <w:color w:val="1A1A1A"/>
          <w:sz w:val="26"/>
          <w:szCs w:val="26"/>
        </w:rPr>
        <w:t xml:space="preserve">6.6  Suspicious Transaction Reporting (STR)</w:t>
      </w:r>
    </w:p>
    <w:p>
      <w:pPr>
        <w:spacing w:after="80" w:before="80"/>
      </w:pPr>
      <w:r>
        <w:rPr>
          <w:rFonts w:ascii="Arial" w:cs="Arial" w:eastAsia="Arial" w:hAnsi="Arial"/>
          <w:color w:val="1A1A1A"/>
          <w:sz w:val="22"/>
          <w:szCs w:val="22"/>
        </w:rPr>
        <w:t xml:space="preserve">Where ANIMEX becomes aware of a transaction that gives rise to a reasonable suspicion of money laundering, terrorist financing, or proceeds of crime, the Compliance Officer must:</w:t>
      </w:r>
    </w:p>
    <w:p>
      <w:pPr>
        <w:pStyle w:val="ListParagraph"/>
        <w:numPr>
          <w:ilvl w:val="0"/>
          <w:numId w:val="3"/>
        </w:numPr>
        <w:spacing w:after="40" w:before="40"/>
      </w:pPr>
      <w:r>
        <w:rPr>
          <w:rFonts w:ascii="Arial" w:cs="Arial" w:eastAsia="Arial" w:hAnsi="Arial"/>
          <w:color w:val="1A1A1A"/>
          <w:sz w:val="22"/>
          <w:szCs w:val="22"/>
        </w:rPr>
        <w:t>Assess the suspicion as soon as possible and within the legally required reporting period where the FIC Act applies; internal target assessment within 2 (two) business days;</w:t>
      </w:r>
    </w:p>
    <w:p>
      <w:pPr>
        <w:pStyle w:val="ListParagraph"/>
        <w:numPr>
          <w:ilvl w:val="0"/>
          <w:numId w:val="3"/>
        </w:numPr>
        <w:spacing w:after="40" w:before="40"/>
      </w:pPr>
      <w:r>
        <w:rPr>
          <w:rFonts w:ascii="Arial" w:cs="Arial" w:eastAsia="Arial" w:hAnsi="Arial"/>
          <w:color w:val="1A1A1A"/>
          <w:sz w:val="22"/>
          <w:szCs w:val="22"/>
        </w:rPr>
        <w:t>File a Suspicious Transaction Report (STR) with the Financial Intelligence Centre via the FIC's reporting portal (goAML), where ANIMEX is required or elects to report under section 29 of the FIC Act. Where section 29 applies, reporting must occur as soon as possible and not later than the statutory period then in force;</w:t>
      </w:r>
    </w:p>
    <w:p>
      <w:pPr>
        <w:pStyle w:val="ListParagraph"/>
        <w:numPr>
          <w:ilvl w:val="0"/>
          <w:numId w:val="3"/>
        </w:numPr>
        <w:spacing w:after="40" w:before="40"/>
      </w:pPr>
      <w:r>
        <w:rPr>
          <w:rFonts w:ascii="Arial" w:cs="Arial" w:eastAsia="Arial" w:hAnsi="Arial"/>
          <w:color w:val="1A1A1A"/>
          <w:sz w:val="22"/>
          <w:szCs w:val="22"/>
        </w:rPr>
        <w:t xml:space="preserve">Not inform the User under investigation of the STR ("tipping off" prohibition);</w:t>
      </w:r>
    </w:p>
    <w:p>
      <w:pPr>
        <w:pStyle w:val="ListParagraph"/>
        <w:numPr>
          <w:ilvl w:val="0"/>
          <w:numId w:val="3"/>
        </w:numPr>
        <w:spacing w:after="40" w:before="40"/>
      </w:pPr>
      <w:r>
        <w:rPr>
          <w:rFonts w:ascii="Arial" w:cs="Arial" w:eastAsia="Arial" w:hAnsi="Arial"/>
          <w:color w:val="1A1A1A"/>
          <w:sz w:val="22"/>
          <w:szCs w:val="22"/>
        </w:rPr>
        <w:t xml:space="preserve">Record the assessment and decision in ANIMEX's AML log, whether or not an STR is filed.</w:t>
      </w:r>
    </w:p>
    <w:p>
      <w:pPr>
        <w:pStyle w:val="Heading2"/>
        <w:spacing w:after="120" w:before="280"/>
      </w:pPr>
      <w:r>
        <w:rPr>
          <w:rFonts w:ascii="Arial" w:cs="Arial" w:eastAsia="Arial" w:hAnsi="Arial"/>
          <w:b/>
          <w:bCs/>
          <w:color w:val="1A1A1A"/>
          <w:sz w:val="26"/>
          <w:szCs w:val="26"/>
        </w:rPr>
        <w:t xml:space="preserve">6.7  Wildlife Trafficking Risk</w:t>
      </w:r>
    </w:p>
    <w:p>
      <w:pPr>
        <w:spacing w:after="80" w:before="80"/>
      </w:pPr>
      <w:r>
        <w:rPr>
          <w:rFonts w:ascii="Arial" w:cs="Arial" w:eastAsia="Arial" w:hAnsi="Arial"/>
          <w:color w:val="1A1A1A"/>
          <w:sz w:val="22"/>
          <w:szCs w:val="22"/>
        </w:rPr>
        <w:t xml:space="preserve">ANIMEX is specifically alert to the risk of the Platform being used to facilitate illegal wildlife trafficking. Indicators include: Listings for TOPS-listed or CITES-scheduled species without verified permits; pricing significantly below market for regulated species; new Users with multiple high-value exotic Animal Listings; requests to complete transactions outside the Platform.</w:t>
      </w:r>
    </w:p>
    <w:p>
      <w:pPr>
        <w:spacing w:after="80" w:before="80"/>
      </w:pPr>
      <w:r>
        <w:rPr>
          <w:rFonts w:ascii="Arial" w:cs="Arial" w:eastAsia="Arial" w:hAnsi="Arial"/>
          <w:color w:val="1A1A1A"/>
          <w:sz w:val="22"/>
          <w:szCs w:val="22"/>
        </w:rPr>
        <w:t xml:space="preserve">Suspected wildlife trafficking must be reported to the Compliance Officer immediately and may be reported to the Department of Forestry, Fisheries and the Environment (DFFE), SAPS Environmental Crimes Unit, or the Hawks (DPCI) as appropriate.</w:t>
      </w:r>
    </w:p>
    <w:p>
      <w:pPr>
        <w:pStyle w:val="Heading2"/>
        <w:spacing w:after="120" w:before="280"/>
      </w:pPr>
      <w:r>
        <w:rPr>
          <w:rFonts w:ascii="Arial" w:cs="Arial" w:eastAsia="Arial" w:hAnsi="Arial"/>
          <w:b/>
          <w:bCs/>
          <w:color w:val="1A1A1A"/>
          <w:sz w:val="26"/>
          <w:szCs w:val="26"/>
        </w:rPr>
        <w:t xml:space="preserve">6.8  Training</w:t>
      </w:r>
    </w:p>
    <w:p>
      <w:pPr>
        <w:spacing w:after="80" w:before="80"/>
      </w:pPr>
      <w:r>
        <w:rPr>
          <w:rFonts w:ascii="Arial" w:cs="Arial" w:eastAsia="Arial" w:hAnsi="Arial"/>
          <w:color w:val="1A1A1A"/>
          <w:sz w:val="22"/>
          <w:szCs w:val="22"/>
        </w:rPr>
        <w:t xml:space="preserve">All Staff with access to User transactions, payment tools, or User data must receive AML/CTF training at least annually covering: red flags; escalation procedures; tipping-off prohibition; STR obligations; and wildlife trafficking risks.</w:t>
      </w:r>
    </w:p>
    <w:p>
      <w:pPr>
        <w:pStyle w:val="Heading2"/>
        <w:spacing w:after="120" w:before="280"/>
      </w:pPr>
      <w:r>
        <w:rPr>
          <w:rFonts w:ascii="Arial" w:cs="Arial" w:eastAsia="Arial" w:hAnsi="Arial"/>
          <w:b/>
          <w:bCs/>
          <w:color w:val="1A1A1A"/>
          <w:sz w:val="26"/>
          <w:szCs w:val="26"/>
        </w:rPr>
        <w:t xml:space="preserve">6.9  Record Keeping</w:t>
      </w:r>
    </w:p>
    <w:p>
      <w:pPr>
        <w:spacing w:after="80" w:before="80"/>
      </w:pPr>
      <w:r>
        <w:rPr>
          <w:rFonts w:ascii="Arial" w:cs="Arial" w:eastAsia="Arial" w:hAnsi="Arial"/>
          <w:color w:val="1A1A1A"/>
          <w:sz w:val="22"/>
          <w:szCs w:val="22"/>
        </w:rPr>
        <w:t xml:space="preserve">All AML checks, risk assessments, escalation decisions, and STR decisions (filed or declined) must be recorded in ANIMEX's AML log and retained for 5 (five) years from the date of the transaction or decision, in compliance with the FIC Act.</w:t>
      </w:r>
    </w:p>
    <w:p>
      <w:pPr>
        <w:pBdr>
          <w:bottom w:val="single" w:color="1F4E79" w:sz="6" w:space="1"/>
        </w:pBdr>
        <w:spacing w:after="200" w:before="200"/>
      </w:pPr>
      <w:r>
        <w:t xml:space="preserve"/>
      </w:r>
    </w:p>
    <w:p>
      <w:pPr>
        <w:pStyle w:val="Heading1"/>
        <w:spacing w:after="160" w:before="400"/>
      </w:pPr>
      <w:r>
        <w:rPr>
          <w:rFonts w:ascii="Arial" w:cs="Arial" w:eastAsia="Arial" w:hAnsi="Arial"/>
          <w:b/>
          <w:bCs/>
          <w:color w:val="1F4E79"/>
          <w:sz w:val="32"/>
          <w:szCs w:val="32"/>
        </w:rPr>
        <w:t xml:space="preserve">7.  Whistleblower Policy</w:t>
      </w:r>
    </w:p>
    <w:p>
      <w:pPr>
        <w:pStyle w:val="Heading2"/>
        <w:spacing w:after="120" w:before="280"/>
      </w:pPr>
      <w:r>
        <w:rPr>
          <w:rFonts w:ascii="Arial" w:cs="Arial" w:eastAsia="Arial" w:hAnsi="Arial"/>
          <w:b/>
          <w:bCs/>
          <w:color w:val="1A1A1A"/>
          <w:sz w:val="26"/>
          <w:szCs w:val="26"/>
        </w:rPr>
        <w:t xml:space="preserve">7.1  Purpose and Legal Basis</w:t>
      </w:r>
    </w:p>
    <w:p>
      <w:pPr>
        <w:spacing w:after="80" w:before="80"/>
      </w:pPr>
      <w:r>
        <w:rPr>
          <w:rFonts w:ascii="Arial" w:cs="Arial" w:eastAsia="Arial" w:hAnsi="Arial"/>
          <w:color w:val="1A1A1A"/>
          <w:sz w:val="22"/>
          <w:szCs w:val="22"/>
        </w:rPr>
        <w:t xml:space="preserve">This policy establishes a safe, confidential mechanism for Staff, Users, partners, and third parties to report suspected misconduct, fraud, welfare violations, corruption, policy breaches, data protection violations, AML concerns, or any other unlawful or unethical conduct involving ANIMEX or the Platform.</w:t>
      </w:r>
    </w:p>
    <w:p>
      <w:pPr>
        <w:spacing w:after="80" w:before="80"/>
      </w:pPr>
      <w:r>
        <w:rPr>
          <w:rFonts w:ascii="Arial" w:cs="Arial" w:eastAsia="Arial" w:hAnsi="Arial"/>
          <w:color w:val="1A1A1A"/>
          <w:sz w:val="22"/>
          <w:szCs w:val="22"/>
        </w:rPr>
        <w:t xml:space="preserve">This policy is established in the spirit of the Protected Disclosures Act 26 of 2000 (PDA), which provides employment protection to employees who make protected disclosures in good faith. ANIMEX extends equivalent protections to contractors, platform partners, and Users reporting genuine concerns in good faith.</w:t>
      </w:r>
    </w:p>
    <w:p>
      <w:pPr>
        <w:pStyle w:val="Heading2"/>
        <w:spacing w:after="120" w:before="280"/>
      </w:pPr>
      <w:r>
        <w:rPr>
          <w:rFonts w:ascii="Arial" w:cs="Arial" w:eastAsia="Arial" w:hAnsi="Arial"/>
          <w:b/>
          <w:bCs/>
          <w:color w:val="1A1A1A"/>
          <w:sz w:val="26"/>
          <w:szCs w:val="26"/>
        </w:rPr>
        <w:t xml:space="preserve">7.2  What Can Be Reported</w:t>
      </w:r>
    </w:p>
    <w:p>
      <w:pPr>
        <w:spacing w:after="80" w:before="80"/>
      </w:pPr>
      <w:r>
        <w:rPr>
          <w:rFonts w:ascii="Arial" w:cs="Arial" w:eastAsia="Arial" w:hAnsi="Arial"/>
          <w:color w:val="1A1A1A"/>
          <w:sz w:val="22"/>
          <w:szCs w:val="22"/>
        </w:rPr>
        <w:t xml:space="preserve">Reportable conduct includes:</w:t>
      </w:r>
    </w:p>
    <w:p>
      <w:pPr>
        <w:pStyle w:val="ListParagraph"/>
        <w:numPr>
          <w:ilvl w:val="0"/>
          <w:numId w:val="2"/>
        </w:numPr>
        <w:spacing w:after="40" w:before="40"/>
      </w:pPr>
      <w:r>
        <w:rPr>
          <w:rFonts w:ascii="Arial" w:cs="Arial" w:eastAsia="Arial" w:hAnsi="Arial"/>
          <w:color w:val="1A1A1A"/>
          <w:sz w:val="22"/>
          <w:szCs w:val="22"/>
        </w:rPr>
        <w:t xml:space="preserve">fraud, theft, financial misconduct, or deliberate misrepresentation by Staff or Users;</w:t>
      </w:r>
    </w:p>
    <w:p>
      <w:pPr>
        <w:pStyle w:val="ListParagraph"/>
        <w:numPr>
          <w:ilvl w:val="0"/>
          <w:numId w:val="2"/>
        </w:numPr>
        <w:spacing w:after="40" w:before="40"/>
      </w:pPr>
      <w:r>
        <w:rPr>
          <w:rFonts w:ascii="Arial" w:cs="Arial" w:eastAsia="Arial" w:hAnsi="Arial"/>
          <w:color w:val="1A1A1A"/>
          <w:sz w:val="22"/>
          <w:szCs w:val="22"/>
        </w:rPr>
        <w:t xml:space="preserve">animal abuse, welfare violations, illegal animal trade, or wildlife trafficking on or in connection with the Platform;</w:t>
      </w:r>
    </w:p>
    <w:p>
      <w:pPr>
        <w:pStyle w:val="ListParagraph"/>
        <w:numPr>
          <w:ilvl w:val="0"/>
          <w:numId w:val="2"/>
        </w:numPr>
        <w:spacing w:after="40" w:before="40"/>
      </w:pPr>
      <w:r>
        <w:rPr>
          <w:rFonts w:ascii="Arial" w:cs="Arial" w:eastAsia="Arial" w:hAnsi="Arial"/>
          <w:color w:val="1A1A1A"/>
          <w:sz w:val="22"/>
          <w:szCs w:val="22"/>
        </w:rPr>
        <w:t xml:space="preserve">bribery, corruption, or improper payments under the Prevention and Combating of Corrupt Activities Act 12 of 2004;</w:t>
      </w:r>
    </w:p>
    <w:p>
      <w:pPr>
        <w:pStyle w:val="ListParagraph"/>
        <w:numPr>
          <w:ilvl w:val="0"/>
          <w:numId w:val="2"/>
        </w:numPr>
        <w:spacing w:after="40" w:before="40"/>
      </w:pPr>
      <w:r>
        <w:rPr>
          <w:rFonts w:ascii="Arial" w:cs="Arial" w:eastAsia="Arial" w:hAnsi="Arial"/>
          <w:color w:val="1A1A1A"/>
          <w:sz w:val="22"/>
          <w:szCs w:val="22"/>
        </w:rPr>
        <w:t xml:space="preserve">data protection breaches, POPIA violations, or unauthorised use of User data by Staff;</w:t>
      </w:r>
    </w:p>
    <w:p>
      <w:pPr>
        <w:pStyle w:val="ListParagraph"/>
        <w:numPr>
          <w:ilvl w:val="0"/>
          <w:numId w:val="2"/>
        </w:numPr>
        <w:spacing w:after="40" w:before="40"/>
      </w:pPr>
      <w:r>
        <w:rPr>
          <w:rFonts w:ascii="Arial" w:cs="Arial" w:eastAsia="Arial" w:hAnsi="Arial"/>
          <w:color w:val="1A1A1A"/>
          <w:sz w:val="22"/>
          <w:szCs w:val="22"/>
        </w:rPr>
        <w:t xml:space="preserve">AML/CTF violations, suspicious transactions, or STR failures;</w:t>
      </w:r>
    </w:p>
    <w:p>
      <w:pPr>
        <w:pStyle w:val="ListParagraph"/>
        <w:numPr>
          <w:ilvl w:val="0"/>
          <w:numId w:val="2"/>
        </w:numPr>
        <w:spacing w:after="40" w:before="40"/>
      </w:pPr>
      <w:r>
        <w:rPr>
          <w:rFonts w:ascii="Arial" w:cs="Arial" w:eastAsia="Arial" w:hAnsi="Arial"/>
          <w:color w:val="1A1A1A"/>
          <w:sz w:val="22"/>
          <w:szCs w:val="22"/>
        </w:rPr>
        <w:t xml:space="preserve">serious platform security vulnerabilities that are not being addressed;</w:t>
      </w:r>
    </w:p>
    <w:p>
      <w:pPr>
        <w:pStyle w:val="ListParagraph"/>
        <w:numPr>
          <w:ilvl w:val="0"/>
          <w:numId w:val="2"/>
        </w:numPr>
        <w:spacing w:after="40" w:before="40"/>
      </w:pPr>
      <w:r>
        <w:rPr>
          <w:rFonts w:ascii="Arial" w:cs="Arial" w:eastAsia="Arial" w:hAnsi="Arial"/>
          <w:color w:val="1A1A1A"/>
          <w:sz w:val="22"/>
          <w:szCs w:val="22"/>
        </w:rPr>
        <w:t xml:space="preserve">admin or Staff misuse of Platform access, override of controls, or suppression of audit logs;</w:t>
      </w:r>
    </w:p>
    <w:p>
      <w:pPr>
        <w:pStyle w:val="ListParagraph"/>
        <w:numPr>
          <w:ilvl w:val="0"/>
          <w:numId w:val="2"/>
        </w:numPr>
        <w:spacing w:after="40" w:before="40"/>
      </w:pPr>
      <w:r>
        <w:rPr>
          <w:rFonts w:ascii="Arial" w:cs="Arial" w:eastAsia="Arial" w:hAnsi="Arial"/>
          <w:color w:val="1A1A1A"/>
          <w:sz w:val="22"/>
          <w:szCs w:val="22"/>
        </w:rPr>
        <w:t xml:space="preserve">any other conduct that constitutes a criminal offence, a regulatory breach, or a serious violation of ANIMEX's policies.</w:t>
      </w:r>
    </w:p>
    <w:p>
      <w:pPr>
        <w:pStyle w:val="Heading2"/>
        <w:spacing w:after="120" w:before="280"/>
      </w:pPr>
      <w:r>
        <w:rPr>
          <w:rFonts w:ascii="Arial" w:cs="Arial" w:eastAsia="Arial" w:hAnsi="Arial"/>
          <w:b/>
          <w:bCs/>
          <w:color w:val="1A1A1A"/>
          <w:sz w:val="26"/>
          <w:szCs w:val="26"/>
        </w:rPr>
        <w:t xml:space="preserve">7.3  How to Report</w:t>
      </w:r>
    </w:p>
    <w:p>
      <w:pPr>
        <w:spacing w:after="80" w:before="80"/>
      </w:pPr>
      <w:r>
        <w:rPr>
          <w:rFonts w:ascii="Arial" w:cs="Arial" w:eastAsia="Arial" w:hAnsi="Arial"/>
          <w:color w:val="1A1A1A"/>
          <w:sz w:val="22"/>
          <w:szCs w:val="22"/>
        </w:rPr>
        <w:t xml:space="preserve">Reports may be submitted:</w:t>
      </w:r>
    </w:p>
    <w:p>
      <w:pPr>
        <w:pStyle w:val="ListParagraph"/>
        <w:numPr>
          <w:ilvl w:val="0"/>
          <w:numId w:val="2"/>
        </w:numPr>
        <w:spacing w:after="40" w:before="40"/>
      </w:pPr>
      <w:r>
        <w:rPr>
          <w:rFonts w:ascii="Arial" w:cs="Arial" w:eastAsia="Arial" w:hAnsi="Arial"/>
          <w:color w:val="1A1A1A"/>
          <w:sz w:val="22"/>
          <w:szCs w:val="22"/>
        </w:rPr>
        <w:t>by email to the designated whistleblower channel: info@animexofficial.co.za;</w:t>
      </w:r>
    </w:p>
    <w:p>
      <w:pPr>
        <w:pStyle w:val="ListParagraph"/>
        <w:numPr>
          <w:ilvl w:val="0"/>
          <w:numId w:val="2"/>
        </w:numPr>
        <w:spacing w:after="40" w:before="40"/>
      </w:pPr>
      <w:r>
        <w:rPr>
          <w:rFonts w:ascii="Arial" w:cs="Arial" w:eastAsia="Arial" w:hAnsi="Arial"/>
          <w:color w:val="1A1A1A"/>
          <w:sz w:val="22"/>
          <w:szCs w:val="22"/>
        </w:rPr>
        <w:t>by written letter to the Information Officer at 37 8th Avenue, Houghton, Gauteng, 2198, South Africa - marked 'Confidential: Whistleblower Report';</w:t>
      </w:r>
    </w:p>
    <w:p>
      <w:pPr>
        <w:pStyle w:val="ListParagraph"/>
        <w:numPr>
          <w:ilvl w:val="0"/>
          <w:numId w:val="2"/>
        </w:numPr>
        <w:spacing w:after="40" w:before="40"/>
      </w:pPr>
      <w:r>
        <w:rPr>
          <w:rFonts w:ascii="Arial" w:cs="Arial" w:eastAsia="Arial" w:hAnsi="Arial"/>
          <w:color w:val="1A1A1A"/>
          <w:sz w:val="22"/>
          <w:szCs w:val="22"/>
        </w:rPr>
        <w:t>through the anonymous reporting tool available at ACTION REQUIRED: configure whistleblower reporting URL if implemented (where implemented on the Platform);</w:t>
      </w:r>
    </w:p>
    <w:p>
      <w:pPr>
        <w:pStyle w:val="ListParagraph"/>
        <w:numPr>
          <w:ilvl w:val="0"/>
          <w:numId w:val="2"/>
        </w:numPr>
        <w:spacing w:after="40" w:before="40"/>
      </w:pPr>
      <w:r>
        <w:rPr>
          <w:rFonts w:ascii="Arial" w:cs="Arial" w:eastAsia="Arial" w:hAnsi="Arial"/>
          <w:color w:val="1A1A1A"/>
          <w:sz w:val="22"/>
          <w:szCs w:val="22"/>
        </w:rPr>
        <w:t xml:space="preserve">directly to the ANIMEX CEO or a non-executive director where the concern involves the Information Officer.</w:t>
      </w:r>
    </w:p>
    <w:p>
      <w:pPr>
        <w:spacing w:after="80" w:before="80"/>
      </w:pPr>
      <w:r>
        <w:rPr>
          <w:rFonts w:ascii="Arial" w:cs="Arial" w:eastAsia="Arial" w:hAnsi="Arial"/>
          <w:color w:val="1A1A1A"/>
          <w:sz w:val="22"/>
          <w:szCs w:val="22"/>
        </w:rPr>
        <w:t xml:space="preserve">Reports may be made anonymously where the Platform's anonymous reporting tool allows. Anonymous reports will be investigated to the extent possible, but limited information may constrain investigation outcomes.</w:t>
      </w:r>
    </w:p>
    <w:p>
      <w:pPr>
        <w:pStyle w:val="Heading2"/>
        <w:spacing w:after="120" w:before="280"/>
      </w:pPr>
      <w:r>
        <w:rPr>
          <w:rFonts w:ascii="Arial" w:cs="Arial" w:eastAsia="Arial" w:hAnsi="Arial"/>
          <w:b/>
          <w:bCs/>
          <w:color w:val="1A1A1A"/>
          <w:sz w:val="26"/>
          <w:szCs w:val="26"/>
        </w:rPr>
        <w:t xml:space="preserve">7.4  What Happens After a Report</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Step</w:t>
            </w:r>
          </w:p>
        </w:tc>
        <w:tc>
          <w:tcPr>
            <w:tcW w:type="dxa" w:w="6026"/>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Timeline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Acknowledgement of report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3 business days (for identified reporters)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Initial assessment by Information Officer or designated investigator</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5 business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Investigation initiated or escalated to appropriate authority</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10 business days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Reporter updated on progress (if identified)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At 30 days and on conclusion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Conclusion and outcome communicated (if identified)</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1A1A1A"/>
                <w:sz w:val="20"/>
                <w:szCs w:val="20"/>
              </w:rPr>
              <w:t xml:space="preserve">Within 90 days where possible</w:t>
            </w:r>
          </w:p>
        </w:tc>
      </w:tr>
    </w:tbl>
    <w:p>
      <w:pPr>
        <w:spacing w:after="60" w:before="60"/>
      </w:pPr>
      <w:r>
        <w:t xml:space="preserve"/>
      </w:r>
    </w:p>
    <w:p>
      <w:pPr>
        <w:spacing w:after="80" w:before="80"/>
      </w:pPr>
      <w:r>
        <w:rPr>
          <w:rFonts w:ascii="Arial" w:cs="Arial" w:eastAsia="Arial" w:hAnsi="Arial"/>
          <w:color w:val="1A1A1A"/>
          <w:sz w:val="22"/>
          <w:szCs w:val="22"/>
        </w:rPr>
        <w:t xml:space="preserve">Investigations involving allegations against the Information Officer or CEO are referred to the Board or a non-executive director. ANIMEX may refer serious matters to the SAPS, DPCI, the Information Regulator, the FIC, DFFE, or other competent authorities.</w:t>
      </w:r>
    </w:p>
    <w:p>
      <w:pPr>
        <w:pStyle w:val="Heading2"/>
        <w:spacing w:after="120" w:before="280"/>
      </w:pPr>
      <w:r>
        <w:rPr>
          <w:rFonts w:ascii="Arial" w:cs="Arial" w:eastAsia="Arial" w:hAnsi="Arial"/>
          <w:b/>
          <w:bCs/>
          <w:color w:val="1A1A1A"/>
          <w:sz w:val="26"/>
          <w:szCs w:val="26"/>
        </w:rPr>
        <w:t xml:space="preserve">7.5  Confidentiality</w:t>
      </w:r>
    </w:p>
    <w:p>
      <w:pPr>
        <w:spacing w:after="80" w:before="80"/>
      </w:pPr>
      <w:r>
        <w:rPr>
          <w:rFonts w:ascii="Arial" w:cs="Arial" w:eastAsia="Arial" w:hAnsi="Arial"/>
          <w:color w:val="1A1A1A"/>
          <w:sz w:val="22"/>
          <w:szCs w:val="22"/>
        </w:rPr>
        <w:t xml:space="preserve">ANIMEX will protect the identity of the reporter to the greatest extent possible. Disclosure of a reporter's identity will occur only where: required by law or court order; the reporter has given prior written consent; or disclosure is necessary to prevent serious harm. Disclosure to investigation subjects will not occur during the investigation.</w:t>
      </w:r>
    </w:p>
    <w:p>
      <w:pPr>
        <w:pStyle w:val="Heading2"/>
        <w:spacing w:after="120" w:before="280"/>
      </w:pPr>
      <w:r>
        <w:rPr>
          <w:rFonts w:ascii="Arial" w:cs="Arial" w:eastAsia="Arial" w:hAnsi="Arial"/>
          <w:b/>
          <w:bCs/>
          <w:color w:val="1A1A1A"/>
          <w:sz w:val="26"/>
          <w:szCs w:val="26"/>
        </w:rPr>
        <w:t xml:space="preserve">7.6  Protection Against Retaliation</w:t>
      </w:r>
    </w:p>
    <w:p>
      <w:pPr>
        <w:spacing w:after="80" w:before="80"/>
      </w:pPr>
      <w:r>
        <w:rPr>
          <w:rFonts w:ascii="Arial" w:cs="Arial" w:eastAsia="Arial" w:hAnsi="Arial"/>
          <w:color w:val="1A1A1A"/>
          <w:sz w:val="22"/>
          <w:szCs w:val="22"/>
        </w:rPr>
        <w:t xml:space="preserve">ANIMEX prohibits retaliation against any person who makes a good-faith report under this policy, including Staff who make disclosures protected under the PDA. Retaliation includes demotion, dismissal, harassment, victimisation, exclusion, hostile treatment, or adverse Platform action.</w:t>
      </w:r>
    </w:p>
    <w:p>
      <w:pPr>
        <w:spacing w:after="80" w:before="80"/>
      </w:pPr>
      <w:r>
        <w:rPr>
          <w:rFonts w:ascii="Arial" w:cs="Arial" w:eastAsia="Arial" w:hAnsi="Arial"/>
          <w:color w:val="1A1A1A"/>
          <w:sz w:val="22"/>
          <w:szCs w:val="22"/>
        </w:rPr>
        <w:t>If a reporter believes they have experienced retaliation, they must report it immediately to info@animexofficial.co.za or to the CEO. Retaliation by any Staff member is treated as a serious disciplinary offence.</w:t>
      </w:r>
    </w:p>
    <w:p>
      <w:pPr>
        <w:spacing w:after="80" w:before="80"/>
      </w:pPr>
      <w:r>
        <w:rPr>
          <w:rFonts w:ascii="Arial" w:cs="Arial" w:eastAsia="Arial" w:hAnsi="Arial"/>
          <w:color w:val="1A1A1A"/>
          <w:sz w:val="22"/>
          <w:szCs w:val="22"/>
        </w:rPr>
        <w:t xml:space="preserve">A report made in good faith is protected even if the concern proves unfounded after investigation. Reports made maliciously or in bad faith are not protected and may result in disciplinary action.</w:t>
      </w:r>
    </w:p>
    <w:p>
      <w:pPr>
        <w:pStyle w:val="Heading2"/>
        <w:spacing w:after="120" w:before="280"/>
      </w:pPr>
      <w:r>
        <w:rPr>
          <w:rFonts w:ascii="Arial" w:cs="Arial" w:eastAsia="Arial" w:hAnsi="Arial"/>
          <w:b/>
          <w:bCs/>
          <w:color w:val="1A1A1A"/>
          <w:sz w:val="26"/>
          <w:szCs w:val="26"/>
        </w:rPr>
        <w:t xml:space="preserve">7.7  External Reporting</w:t>
      </w:r>
    </w:p>
    <w:p>
      <w:pPr>
        <w:spacing w:after="80" w:before="80"/>
      </w:pPr>
      <w:r>
        <w:rPr>
          <w:rFonts w:ascii="Arial" w:cs="Arial" w:eastAsia="Arial" w:hAnsi="Arial"/>
          <w:color w:val="1A1A1A"/>
          <w:sz w:val="22"/>
          <w:szCs w:val="22"/>
        </w:rPr>
        <w:t xml:space="preserve">Nothing in this policy prevents a person from making a protected disclosure to an external authority as permitted by the PDA or other applicable law, including: the South African Police Service; the Hawks (DPCI); the Information Regulator; the Financial Intelligence Centre; the SPCA; the NSPCA; the Department of Forestry, Fisheries and the Environment; or any other regulatory or law enforcement authority with jurisdiction over the reported conduct.</w:t>
      </w:r>
    </w:p>
    <w:p>
      <w:pPr>
        <w:pStyle w:val="Heading2"/>
        <w:spacing w:after="120" w:before="280"/>
      </w:pPr>
      <w:r>
        <w:rPr>
          <w:rFonts w:ascii="Arial" w:cs="Arial" w:eastAsia="Arial" w:hAnsi="Arial"/>
          <w:b/>
          <w:bCs/>
          <w:color w:val="1A1A1A"/>
          <w:sz w:val="26"/>
          <w:szCs w:val="26"/>
        </w:rPr>
        <w:t xml:space="preserve">7.8  False Reports</w:t>
      </w:r>
    </w:p>
    <w:p>
      <w:pPr>
        <w:spacing w:after="80" w:before="80"/>
      </w:pPr>
      <w:r>
        <w:rPr>
          <w:rFonts w:ascii="Arial" w:cs="Arial" w:eastAsia="Arial" w:hAnsi="Arial"/>
          <w:color w:val="1A1A1A"/>
          <w:sz w:val="22"/>
          <w:szCs w:val="22"/>
        </w:rPr>
        <w:t xml:space="preserve">Reports made knowingly falsely, maliciously, or in bad faith are not protected and may result in disciplinary action, account suspension, or legal proceedings for defamation or related claims.</w:t>
      </w:r>
    </w:p>
    <w:p>
      <w:pPr>
        <w:pStyle w:val="Heading2"/>
        <w:spacing w:after="120" w:before="280"/>
      </w:pPr>
      <w:r>
        <w:rPr>
          <w:rFonts w:ascii="Arial" w:cs="Arial" w:eastAsia="Arial" w:hAnsi="Arial"/>
          <w:b/>
          <w:bCs/>
          <w:color w:val="1A1A1A"/>
          <w:sz w:val="26"/>
          <w:szCs w:val="26"/>
        </w:rPr>
        <w:t xml:space="preserve">7.9  Records</w:t>
      </w:r>
    </w:p>
    <w:p>
      <w:pPr>
        <w:spacing w:after="80" w:before="80"/>
      </w:pPr>
      <w:r>
        <w:rPr>
          <w:rFonts w:ascii="Arial" w:cs="Arial" w:eastAsia="Arial" w:hAnsi="Arial"/>
          <w:color w:val="1A1A1A"/>
          <w:sz w:val="22"/>
          <w:szCs w:val="22"/>
        </w:rPr>
        <w:t xml:space="preserve">All whistleblower reports and investigations are recorded in ANIMEX's Whistleblower Register, maintained by the Information Officer. Records are kept confidential and retained for 5 (five) years. Access is restricted to the Information Officer, CEO, and any person formally authorised to investigate the specific report.</w:t>
      </w:r>
    </w:p>
    <w:p>
      <w:pPr>
        <w:pBdr>
          <w:bottom w:val="single" w:color="1F4E79" w:sz="6" w:space="1"/>
        </w:pBdr>
        <w:spacing w:after="200" w:before="200"/>
      </w:pPr>
      <w:r>
        <w:t xml:space="preserve"/>
      </w:r>
    </w:p>
    <w:p>
      <w:pPr>
        <w:spacing w:after="80" w:before="80"/>
      </w:pPr>
      <w:r>
        <w:rPr>
          <w:rFonts w:ascii="Arial" w:cs="Arial" w:eastAsia="Arial" w:hAnsi="Arial"/>
          <w:color w:val="1A1A1A"/>
          <w:sz w:val="22"/>
          <w:szCs w:val="22"/>
        </w:rPr>
        <w:t>ANIMEX Compliance Pack - Version 4.0 - Effective Date: Pending approval/publication</w:t>
      </w:r>
    </w:p>
    <w:p>
      <w:pPr>
        <w:spacing w:after="80" w:before="80"/>
      </w:pPr>
      <w:r>
        <w:rPr>
          <w:rFonts w:ascii="Arial" w:cs="Arial" w:eastAsia="Arial" w:hAnsi="Arial"/>
          <w:color w:val="1A1A1A"/>
          <w:sz w:val="22"/>
          <w:szCs w:val="22"/>
        </w:rPr>
        <w:t xml:space="preserve">This document requires qualified South African legal review before publication or implementation.</w:t>
      </w:r>
    </w:p>
    <w:p>
      <w:r>
        <w:br w:type="page"/>
      </w:r>
    </w:p>
    <w:p>
      <w:r>
        <w:t>V4 Accuracy, Factuality, and Webapp-Alignment Statement</w:t>
      </w:r>
    </w:p>
    <w:p>
      <w:r>
        <w:rPr>
          <w:b/>
          <w:sz w:val="32"/>
        </w:rPr>
        <w:t>V4 Accuracy, Factuality, and Webapp-Alignment Statement</w:t>
      </w:r>
    </w:p>
    <w:p>
      <w:r>
        <w:t>This Version 4.0 document was prepared using the supplied app reference ZIP (animexofficial-d4e558a3-main.zip) and the uploaded V3 policy packs as the baseline. It reflects the webapp structure, company configuration, categories, routes, payment-state model, Supabase/Netlify/PayFast architecture, and Control Room features visible in the ZIP as at 11 May 2026.</w:t>
      </w:r>
    </w:p>
    <w:p>
      <w:r>
        <w:t>No registered-office address, VAT number/status, Information Officer name, final fee amounts, final internal approval thresholds, insurance limits, bank-account details, or role-specific HR contract fields were present in the supplied app ZIP. Those items are marked as ACTION REQUIRED or TEMPLATE FIELD rather than invented.</w:t>
      </w:r>
    </w:p>
    <w:p>
      <w:r>
        <w:t>Where legal, tax, labour, or regulatory facts may change, this document uses checked public-source wording current for this draft and requires final review by the appropriate South African attorney, tax practitioner, labour adviser, information officer, insurer, payment provider, and technical security reviewer before production use.</w:t>
      </w:r>
    </w:p>
    <w:p>
      <w:r>
        <w:t>If the webapp implementation and this document conflict, the affected app flow must not launch until the discrepancy is resolved by updating the code, updating published app copy, or revising this document through the Control Room terms/versioning process.</w:t>
      </w:r>
    </w:p>
    <w:p>
      <w:r>
        <w:t>Webapp alignment - compliance controls</w:t>
      </w:r>
    </w:p>
    <w:p>
      <w:r>
        <w:rPr>
          <w:b/>
          <w:sz w:val="26"/>
        </w:rPr>
        <w:t>Webapp alignment - compliance controls</w:t>
      </w:r>
    </w:p>
    <w:p>
      <w:r>
        <w:t>- The DPA, POPIA procedure, data export/deletion procedure, breach plan, AML/FICA policy, whistleblower policy, and Admin/Staff AUP align to Supabase, Netlify, PayFast, app messaging, Control Room audit, payments, disputes, and partner management features.</w:t>
      </w:r>
    </w:p>
    <w:p>
      <w:r>
        <w:t>- Account deletion is framed as disabling access and removing/de-identifying public profile data, while retaining tax, FIC, fraud, dispute, chargeback, welfare, audit, and legal-defence records where lawful.</w:t>
      </w:r>
    </w:p>
    <w:p>
      <w:r>
        <w:t>- POPIA breach notifications use the statutory as-soon-as-reasonably-possible standard. A 72-hour target is internal only and is not presented as a South African statutory deadline.</w:t>
      </w:r>
    </w:p>
    <w:p>
      <w:r>
        <w:t>- The app contains adoption checkout/confirm functions, but the inspected PayFast ITN function did not contain an adoption-specific adopt_ branch. Live adoption payments must remain disabled or be completed with PayFast ITN adoption handling and reconciliation before launch.</w:t>
      </w:r>
    </w:p>
    <w:sectPr>
      <w:footerReference w:type="default" r:id="rId7"/>
      <w:headerReference w:type="default" r:id="rId9"/>
      <w:headerReference w:type="first" r:id="rId10"/>
      <w:footerReference w:type="first" r:id="rId11"/>
      <w:headerReference w:type="even" r:id="rId12"/>
      <w:footerReference w:type="even" r:id="rId13"/>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rPr>
      <w:t>ANIMEX Version 4.0 - Webapp-aligned draft - 11 May 2026 - Attorney/tax/security review required before launch</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OpenAI for ANIMEX</dc:creator>
  <cp:lastModifiedBy>Un-named</cp:lastModifiedBy>
  <cp:revision>1</cp:revision>
  <dcterms:created xsi:type="dcterms:W3CDTF">2026-05-05T20:39:45.494Z</dcterms:created>
  <dcterms:modified xsi:type="dcterms:W3CDTF">2026-05-05T20:39:45.494Z</dcterms:modified>
  <dc:title>ANIMEX Compliance Pack v4</dc:title>
  <dc:subject>ANIMEX Version 4.0 webapp-aligned legal and control pack</dc:subject>
  <dc:description>Generated from user-provided V3 DOCX files and app ZIP. Review required before publication.</dc:description>
  <cp:keywords>ANIMEX, legal, policy, South Africa, POPIA, PayFast, Supabase, marketplace</cp:keywords>
</cp:coreProperties>
</file>

<file path=docProps/custom.xml><?xml version="1.0" encoding="utf-8"?>
<Properties xmlns="http://schemas.openxmlformats.org/officeDocument/2006/custom-properties" xmlns:vt="http://schemas.openxmlformats.org/officeDocument/2006/docPropsVTypes"/>
</file>