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AGREEMENTS PACK</w:t>
      </w:r>
    </w:p>
    <w:p>
      <w:pPr>
        <w:spacing w:after="60" w:before="0"/>
        <w:jc w:val="center"/>
      </w:pPr>
      <w:r>
        <w:rPr>
          <w:rFonts w:ascii="Arial" w:cs="Arial" w:eastAsia="Arial" w:hAnsi="Arial"/>
          <w:i/>
          <w:iCs/>
          <w:color w:val="595959"/>
          <w:sz w:val="22"/>
          <w:szCs w:val="22"/>
        </w:rPr>
        <w:t xml:space="preserve">Seller, Welfare Partner, Breeder, Veterinarian, NDA</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Seller Agreement</w:t>
      </w:r>
    </w:p>
    <w:p>
      <w:pPr>
        <w:spacing w:after="80" w:before="80"/>
      </w:pPr>
      <w:r>
        <w:rPr>
          <w:rFonts w:ascii="Arial" w:cs="Arial" w:eastAsia="Arial" w:hAnsi="Arial"/>
          <w:color w:val="1A1A1A"/>
          <w:sz w:val="22"/>
          <w:szCs w:val="22"/>
        </w:rPr>
        <w:t>This Seller Agreement ("Agreement") is entered into between ANIMEX (Pty) Ltd, registration number 2026/171061/07 ("ANIMEX") and the individual or entity registered as a Seller on the ANIMEX Platform ("Seller").</w:t>
      </w:r>
    </w:p>
    <w:p>
      <w:pPr>
        <w:spacing w:after="80" w:before="80"/>
      </w:pPr>
      <w:r>
        <w:rPr>
          <w:rFonts w:ascii="Arial" w:cs="Arial" w:eastAsia="Arial" w:hAnsi="Arial"/>
          <w:color w:val="1A1A1A"/>
          <w:sz w:val="22"/>
          <w:szCs w:val="22"/>
        </w:rPr>
        <w:t xml:space="preserve">By activating Seller features, publishing a Listing, accepting payment, or using Secure Checkout, the Seller accepts this Agreement in full. Acceptance constitutes a legally binding electronic agreement under section 22 of the ECT Act 25 of 2002.</w:t>
      </w:r>
    </w:p>
    <w:p>
      <w:pPr>
        <w:pStyle w:val="Heading2"/>
        <w:spacing w:after="120" w:before="280"/>
      </w:pPr>
      <w:r>
        <w:rPr>
          <w:rFonts w:ascii="Arial" w:cs="Arial" w:eastAsia="Arial" w:hAnsi="Arial"/>
          <w:b/>
          <w:bCs/>
          <w:color w:val="1A1A1A"/>
          <w:sz w:val="26"/>
          <w:szCs w:val="26"/>
        </w:rPr>
        <w:t xml:space="preserve">1.1  Incorporation of Platform Terms</w:t>
      </w:r>
    </w:p>
    <w:p>
      <w:pPr>
        <w:spacing w:after="80" w:before="80"/>
      </w:pPr>
      <w:r>
        <w:rPr>
          <w:rFonts w:ascii="Arial" w:cs="Arial" w:eastAsia="Arial" w:hAnsi="Arial"/>
          <w:color w:val="1A1A1A"/>
          <w:sz w:val="22"/>
          <w:szCs w:val="22"/>
        </w:rPr>
        <w:t xml:space="preserve">This Agreement supplements and is read together with the ANIMEX Terms and Conditions, Secure Checkout Policy, Refund Policy, Animal Welfare Policy, Listing rules, Payments and Payouts Policy, and all other applicable policies. If there is a conflict between this Agreement and the Terms and Conditions, this Agreement governs in respect of Seller-specific obligations unless the Terms and Conditions expressly state otherwise.</w:t>
      </w:r>
    </w:p>
    <w:p>
      <w:pPr>
        <w:pStyle w:val="Heading2"/>
        <w:spacing w:after="120" w:before="280"/>
      </w:pPr>
      <w:r>
        <w:rPr>
          <w:rFonts w:ascii="Arial" w:cs="Arial" w:eastAsia="Arial" w:hAnsi="Arial"/>
          <w:b/>
          <w:bCs/>
          <w:color w:val="1A1A1A"/>
          <w:sz w:val="26"/>
          <w:szCs w:val="26"/>
        </w:rPr>
        <w:t xml:space="preserve">1.2  Seller Status and Merchant of Record</w:t>
      </w:r>
    </w:p>
    <w:p>
      <w:pPr>
        <w:spacing w:after="80" w:before="80"/>
      </w:pPr>
      <w:r>
        <w:rPr>
          <w:rFonts w:ascii="Arial" w:cs="Arial" w:eastAsia="Arial" w:hAnsi="Arial"/>
          <w:color w:val="1A1A1A"/>
          <w:sz w:val="22"/>
          <w:szCs w:val="22"/>
        </w:rPr>
        <w:t xml:space="preserve">The Seller is the merchant of record and supplier for every underlying sale unless ANIMEX expressly states otherwise in writing. ANIMEX acts solely as marketplace facilitator and, for Secure Checkout transactions, limited Collection Agent.</w:t>
      </w:r>
    </w:p>
    <w:p>
      <w:pPr>
        <w:spacing w:after="80" w:before="80"/>
      </w:pPr>
      <w:r>
        <w:rPr>
          <w:rFonts w:ascii="Arial" w:cs="Arial" w:eastAsia="Arial" w:hAnsi="Arial"/>
          <w:color w:val="1A1A1A"/>
          <w:sz w:val="22"/>
          <w:szCs w:val="22"/>
        </w:rPr>
        <w:t xml:space="preserve">The Seller remains solely responsible for all tax obligations arising from the sale, including income tax, VAT (where applicable), capital gains, and any municipal or statutory levy. The Seller must register as a VAT vendor independently where required by law. ANIMEX does not provide tax advice and the Seller must obtain independent tax advice.</w:t>
      </w:r>
    </w:p>
    <w:p>
      <w:pPr>
        <w:pStyle w:val="Heading2"/>
        <w:spacing w:after="120" w:before="280"/>
      </w:pPr>
      <w:r>
        <w:rPr>
          <w:rFonts w:ascii="Arial" w:cs="Arial" w:eastAsia="Arial" w:hAnsi="Arial"/>
          <w:b/>
          <w:bCs/>
          <w:color w:val="1A1A1A"/>
          <w:sz w:val="26"/>
          <w:szCs w:val="26"/>
        </w:rPr>
        <w:t xml:space="preserve">1.3  Seller Verification</w:t>
      </w:r>
    </w:p>
    <w:p>
      <w:pPr>
        <w:spacing w:after="80" w:before="80"/>
      </w:pPr>
      <w:r>
        <w:rPr>
          <w:rFonts w:ascii="Arial" w:cs="Arial" w:eastAsia="Arial" w:hAnsi="Arial"/>
          <w:color w:val="1A1A1A"/>
          <w:sz w:val="22"/>
          <w:szCs w:val="22"/>
        </w:rPr>
        <w:t xml:space="preserve">ANIMEX may require: identity verification (SA ID, passport, or company registration); address verification; bank account verification; proof of ownership of the Animal; breeder credentials or club membership; veterinary records; permit documents; welfare evidence; and risk or compliance information. ANIMEX may refuse, pause, restrict, or remove Seller access until verification requirements are satisfied. Verification does not constitute ANIMEX's endorsement of the Seller.</w:t>
      </w:r>
    </w:p>
    <w:p>
      <w:pPr>
        <w:pStyle w:val="Heading2"/>
        <w:spacing w:after="120" w:before="280"/>
      </w:pPr>
      <w:r>
        <w:rPr>
          <w:rFonts w:ascii="Arial" w:cs="Arial" w:eastAsia="Arial" w:hAnsi="Arial"/>
          <w:b/>
          <w:bCs/>
          <w:color w:val="1A1A1A"/>
          <w:sz w:val="26"/>
          <w:szCs w:val="26"/>
        </w:rPr>
        <w:t xml:space="preserve">1.4  Listing Warranties</w:t>
      </w:r>
    </w:p>
    <w:p>
      <w:pPr>
        <w:spacing w:after="80" w:before="80"/>
      </w:pPr>
      <w:r>
        <w:rPr>
          <w:rFonts w:ascii="Arial" w:cs="Arial" w:eastAsia="Arial" w:hAnsi="Arial"/>
          <w:color w:val="1A1A1A"/>
          <w:sz w:val="22"/>
          <w:szCs w:val="22"/>
        </w:rPr>
        <w:t xml:space="preserve">The Seller warrants and represents to ANIMEX and to each Buyer, on a continuing basis, that each Listing is:</w:t>
      </w:r>
    </w:p>
    <w:p>
      <w:pPr>
        <w:pStyle w:val="ListParagraph"/>
        <w:numPr>
          <w:ilvl w:val="0"/>
          <w:numId w:val="2"/>
        </w:numPr>
        <w:spacing w:after="40" w:before="40"/>
      </w:pPr>
      <w:r>
        <w:rPr>
          <w:rFonts w:ascii="Arial" w:cs="Arial" w:eastAsia="Arial" w:hAnsi="Arial"/>
          <w:color w:val="1A1A1A"/>
          <w:sz w:val="22"/>
          <w:szCs w:val="22"/>
        </w:rPr>
        <w:t xml:space="preserve">truthful, complete, accurate, lawful, and not misleading in any material respect;</w:t>
      </w:r>
    </w:p>
    <w:p>
      <w:pPr>
        <w:pStyle w:val="ListParagraph"/>
        <w:numPr>
          <w:ilvl w:val="0"/>
          <w:numId w:val="2"/>
        </w:numPr>
        <w:spacing w:after="40" w:before="40"/>
      </w:pPr>
      <w:r>
        <w:rPr>
          <w:rFonts w:ascii="Arial" w:cs="Arial" w:eastAsia="Arial" w:hAnsi="Arial"/>
          <w:color w:val="1A1A1A"/>
          <w:sz w:val="22"/>
          <w:szCs w:val="22"/>
        </w:rPr>
        <w:t xml:space="preserve">for an Animal which the Seller has full legal title to or lawful authority to sell, transfer, or rehome;</w:t>
      </w:r>
    </w:p>
    <w:p>
      <w:pPr>
        <w:pStyle w:val="ListParagraph"/>
        <w:numPr>
          <w:ilvl w:val="0"/>
          <w:numId w:val="2"/>
        </w:numPr>
        <w:spacing w:after="40" w:before="40"/>
      </w:pPr>
      <w:r>
        <w:rPr>
          <w:rFonts w:ascii="Arial" w:cs="Arial" w:eastAsia="Arial" w:hAnsi="Arial"/>
          <w:color w:val="1A1A1A"/>
          <w:sz w:val="22"/>
          <w:szCs w:val="22"/>
        </w:rPr>
        <w:t xml:space="preserve">not for a stolen, disputed, court-restrained, or unlawfully obtained Animal;</w:t>
      </w:r>
    </w:p>
    <w:p>
      <w:pPr>
        <w:pStyle w:val="ListParagraph"/>
        <w:numPr>
          <w:ilvl w:val="0"/>
          <w:numId w:val="2"/>
        </w:numPr>
        <w:spacing w:after="40" w:before="40"/>
      </w:pPr>
      <w:r>
        <w:rPr>
          <w:rFonts w:ascii="Arial" w:cs="Arial" w:eastAsia="Arial" w:hAnsi="Arial"/>
          <w:color w:val="1A1A1A"/>
          <w:sz w:val="22"/>
          <w:szCs w:val="22"/>
        </w:rPr>
        <w:t xml:space="preserve">supported by all valid permits, licences, microchip records, health certificates, vaccination records, and ownership documents required by law;</w:t>
      </w:r>
    </w:p>
    <w:p>
      <w:pPr>
        <w:pStyle w:val="ListParagraph"/>
        <w:numPr>
          <w:ilvl w:val="0"/>
          <w:numId w:val="2"/>
        </w:numPr>
        <w:spacing w:after="40" w:before="40"/>
      </w:pPr>
      <w:r>
        <w:rPr>
          <w:rFonts w:ascii="Arial" w:cs="Arial" w:eastAsia="Arial" w:hAnsi="Arial"/>
          <w:color w:val="1A1A1A"/>
          <w:sz w:val="22"/>
          <w:szCs w:val="22"/>
        </w:rPr>
        <w:t xml:space="preserve">compliant with the Animals Protection Act, NEMBA, TOPS Regulations, and all applicable municipal and provincial rules.</w:t>
      </w:r>
    </w:p>
    <w:p>
      <w:pPr>
        <w:spacing w:after="80" w:before="80"/>
      </w:pPr>
      <w:r>
        <w:rPr>
          <w:rFonts w:ascii="Arial" w:cs="Arial" w:eastAsia="Arial" w:hAnsi="Arial"/>
          <w:color w:val="1A1A1A"/>
          <w:sz w:val="22"/>
          <w:szCs w:val="22"/>
        </w:rPr>
        <w:t xml:space="preserve">The Seller must immediately update or remove any Listing where these warranties cease to be accurate.</w:t>
      </w:r>
    </w:p>
    <w:p>
      <w:pPr>
        <w:pStyle w:val="Heading2"/>
        <w:spacing w:after="120" w:before="280"/>
      </w:pPr>
      <w:r>
        <w:rPr>
          <w:rFonts w:ascii="Arial" w:cs="Arial" w:eastAsia="Arial" w:hAnsi="Arial"/>
          <w:b/>
          <w:bCs/>
          <w:color w:val="1A1A1A"/>
          <w:sz w:val="26"/>
          <w:szCs w:val="26"/>
        </w:rPr>
        <w:t xml:space="preserve">1.5  Health, Behaviour, and Disclosure Duties</w:t>
      </w:r>
    </w:p>
    <w:p>
      <w:pPr>
        <w:spacing w:after="80" w:before="80"/>
      </w:pPr>
      <w:r>
        <w:rPr>
          <w:rFonts w:ascii="Arial" w:cs="Arial" w:eastAsia="Arial" w:hAnsi="Arial"/>
          <w:color w:val="1A1A1A"/>
          <w:sz w:val="22"/>
          <w:szCs w:val="22"/>
        </w:rPr>
        <w:t xml:space="preserve">The Seller must disclose all known health issues, injuries, genetic conditions, chronic conditions, behavioural issues, temperament concerns, special care requirements, vaccination status, sterilisation status, microchip details, pedigree limitations, separation age, and document limitations. Silence on a known material issue constitutes misrepresentation. The Seller confirms that disclosure obligations are ongoing and must be updated if circumstances change before handover.</w:t>
      </w:r>
    </w:p>
    <w:p>
      <w:pPr>
        <w:pStyle w:val="Heading2"/>
        <w:spacing w:after="120" w:before="280"/>
      </w:pPr>
      <w:r>
        <w:rPr>
          <w:rFonts w:ascii="Arial" w:cs="Arial" w:eastAsia="Arial" w:hAnsi="Arial"/>
          <w:b/>
          <w:bCs/>
          <w:color w:val="1A1A1A"/>
          <w:sz w:val="26"/>
          <w:szCs w:val="26"/>
        </w:rPr>
        <w:t xml:space="preserve">1.6  Animal Welfare Obligations</w:t>
      </w:r>
    </w:p>
    <w:p>
      <w:pPr>
        <w:spacing w:after="80" w:before="80"/>
      </w:pPr>
      <w:r>
        <w:rPr>
          <w:rFonts w:ascii="Arial" w:cs="Arial" w:eastAsia="Arial" w:hAnsi="Arial"/>
          <w:color w:val="1A1A1A"/>
          <w:sz w:val="22"/>
          <w:szCs w:val="22"/>
        </w:rPr>
        <w:t xml:space="preserve">The Seller must comply with the Animals Protection Act, NEMBA, TOPS Regulations, the SPCA Act, and all applicable welfare norms. The Seller must not list Animals from abusive, negligent, or mass unregulated breeding operations. The Seller must ensure that all Animals in their care are treated humanely until handover. ANIMEX may require photographs, videos, veterinary records, or third-party welfare checks where welfare risk is suspected.</w:t>
      </w:r>
    </w:p>
    <w:p>
      <w:pPr>
        <w:pStyle w:val="Heading2"/>
        <w:spacing w:after="120" w:before="280"/>
      </w:pPr>
      <w:r>
        <w:rPr>
          <w:rFonts w:ascii="Arial" w:cs="Arial" w:eastAsia="Arial" w:hAnsi="Arial"/>
          <w:b/>
          <w:bCs/>
          <w:color w:val="1A1A1A"/>
          <w:sz w:val="26"/>
          <w:szCs w:val="26"/>
        </w:rPr>
        <w:t xml:space="preserve">1.7  Secure Checkout and Collection Agent Appointment</w:t>
      </w:r>
    </w:p>
    <w:p>
      <w:pPr>
        <w:spacing w:after="80" w:before="80"/>
      </w:pPr>
      <w:r>
        <w:rPr>
          <w:rFonts w:ascii="Arial" w:cs="Arial" w:eastAsia="Arial" w:hAnsi="Arial"/>
          <w:color w:val="1A1A1A"/>
          <w:sz w:val="22"/>
          <w:szCs w:val="22"/>
        </w:rPr>
        <w:t xml:space="preserve">For Secure Checkout transactions, the Seller irrevocably appoints ANIMEX as limited Collection Agent solely to facilitate collection of Buyer payment through the Payment Provider and to issue release, hold, refund, or reversal instructions under the Secure Checkout Policy. ANIMEX does not operate an escrow, trust account, banking service, credit service, or insurance product. The Seller agrees that Payment Provider settlement delays, card scheme rules, chargebacks, and bank reversals may affect payout timing beyond ANIMEX's control.</w:t>
      </w:r>
    </w:p>
    <w:p>
      <w:pPr>
        <w:pStyle w:val="Heading2"/>
        <w:spacing w:after="120" w:before="280"/>
      </w:pPr>
      <w:r>
        <w:rPr>
          <w:rFonts w:ascii="Arial" w:cs="Arial" w:eastAsia="Arial" w:hAnsi="Arial"/>
          <w:b/>
          <w:bCs/>
          <w:color w:val="1A1A1A"/>
          <w:sz w:val="26"/>
          <w:szCs w:val="26"/>
        </w:rPr>
        <w:t xml:space="preserve">1.8  Fees</w:t>
      </w:r>
    </w:p>
    <w:p>
      <w:pPr>
        <w:spacing w:after="80" w:before="80"/>
      </w:pPr>
      <w:r>
        <w:rPr>
          <w:rFonts w:ascii="Arial" w:cs="Arial" w:eastAsia="Arial" w:hAnsi="Arial"/>
          <w:color w:val="1A1A1A"/>
          <w:sz w:val="22"/>
          <w:szCs w:val="22"/>
        </w:rPr>
        <w:t xml:space="preserve">The Seller agrees to pay all applicable listing fees, success fees, Secure Checkout service fees, verification fees, payment processing fees, payout fees, cancellation fees, and dispute handling fees as disclosed on the Platform. If ANIMEX reasonably determines that a transaction was initiated on the Platform and completed off-platform to avoid fees, ANIMEX may charge the applicable fees, suspend the Seller account, withhold payouts where lawful, and pursue recovery.</w:t>
      </w:r>
    </w:p>
    <w:p>
      <w:pPr>
        <w:pStyle w:val="Heading2"/>
        <w:spacing w:after="120" w:before="280"/>
      </w:pPr>
      <w:r>
        <w:rPr>
          <w:rFonts w:ascii="Arial" w:cs="Arial" w:eastAsia="Arial" w:hAnsi="Arial"/>
          <w:b/>
          <w:bCs/>
          <w:color w:val="1A1A1A"/>
          <w:sz w:val="26"/>
          <w:szCs w:val="26"/>
        </w:rPr>
        <w:t xml:space="preserve">1.9  Payouts</w:t>
      </w:r>
    </w:p>
    <w:p>
      <w:pPr>
        <w:spacing w:after="80" w:before="80"/>
      </w:pPr>
      <w:r>
        <w:rPr>
          <w:rFonts w:ascii="Arial" w:cs="Arial" w:eastAsia="Arial" w:hAnsi="Arial"/>
          <w:color w:val="1A1A1A"/>
          <w:sz w:val="22"/>
          <w:szCs w:val="22"/>
        </w:rPr>
        <w:t xml:space="preserve">Payouts are made only to the Seller's verified South African bank account. ANIMEX may delay, withhold, reverse, or set off payouts in respect of: refunds; chargebacks; suspected fraud; welfare concerns; document issues; policy breaches; Seller negative balances; or regulatory holds. The Seller agrees to provide correct, verified banking details and to notify ANIMEX immediately of any banking changes. ANIMEX accepts no liability for misdirected payouts caused by the Seller's failure to maintain correct banking details.</w:t>
      </w:r>
    </w:p>
    <w:p>
      <w:pPr>
        <w:pStyle w:val="Heading2"/>
        <w:spacing w:after="120" w:before="280"/>
      </w:pPr>
      <w:r>
        <w:rPr>
          <w:rFonts w:ascii="Arial" w:cs="Arial" w:eastAsia="Arial" w:hAnsi="Arial"/>
          <w:b/>
          <w:bCs/>
          <w:color w:val="1A1A1A"/>
          <w:sz w:val="26"/>
          <w:szCs w:val="26"/>
        </w:rPr>
        <w:t xml:space="preserve">1.10  Chargebacks and Payment Disputes</w:t>
      </w:r>
    </w:p>
    <w:p>
      <w:pPr>
        <w:spacing w:after="80" w:before="80"/>
      </w:pPr>
      <w:r>
        <w:rPr>
          <w:rFonts w:ascii="Arial" w:cs="Arial" w:eastAsia="Arial" w:hAnsi="Arial"/>
          <w:color w:val="1A1A1A"/>
          <w:sz w:val="22"/>
          <w:szCs w:val="22"/>
        </w:rPr>
        <w:t xml:space="preserve">The Seller is liable for chargebacks, reversals, Payment Provider penalties, evidence costs, and recovery costs where the chargeback results from Seller misrepresentation, failed handover, document failure, fraud, policy breach, or failure to cooperate. The Seller must provide evidence requested by ANIMEX within 3 (three) business days. Failure to respond timeously may result in refund, reversal, suspension, or payout hold without further notice.</w:t>
      </w:r>
    </w:p>
    <w:p>
      <w:pPr>
        <w:pStyle w:val="Heading2"/>
        <w:spacing w:after="120" w:before="280"/>
      </w:pPr>
      <w:r>
        <w:rPr>
          <w:rFonts w:ascii="Arial" w:cs="Arial" w:eastAsia="Arial" w:hAnsi="Arial"/>
          <w:b/>
          <w:bCs/>
          <w:color w:val="1A1A1A"/>
          <w:sz w:val="26"/>
          <w:szCs w:val="26"/>
        </w:rPr>
        <w:t xml:space="preserve">1.11  Handover and Transport</w:t>
      </w:r>
    </w:p>
    <w:p>
      <w:pPr>
        <w:spacing w:after="80" w:before="80"/>
      </w:pPr>
      <w:r>
        <w:rPr>
          <w:rFonts w:ascii="Arial" w:cs="Arial" w:eastAsia="Arial" w:hAnsi="Arial"/>
          <w:color w:val="1A1A1A"/>
          <w:sz w:val="22"/>
          <w:szCs w:val="22"/>
        </w:rPr>
        <w:t xml:space="preserve">The Seller must hand over the correct Animal, with all required documents, at the agreed time and location. The Seller is responsible for ensuring any Seller-arranged transport is lawful, humane, safe, and species-appropriate in compliance with applicable transport welfare standards. The Seller must not hand over the Animal to a person other than the verified Buyer or their authorised agent without ANIMEX's prior written approval.</w:t>
      </w:r>
    </w:p>
    <w:p>
      <w:pPr>
        <w:pStyle w:val="Heading2"/>
        <w:spacing w:after="120" w:before="280"/>
      </w:pPr>
      <w:r>
        <w:rPr>
          <w:rFonts w:ascii="Arial" w:cs="Arial" w:eastAsia="Arial" w:hAnsi="Arial"/>
          <w:b/>
          <w:bCs/>
          <w:color w:val="1A1A1A"/>
          <w:sz w:val="26"/>
          <w:szCs w:val="26"/>
        </w:rPr>
        <w:t xml:space="preserve">1.12  Dispute Cooperation</w:t>
      </w:r>
    </w:p>
    <w:p>
      <w:pPr>
        <w:spacing w:after="80" w:before="80"/>
      </w:pPr>
      <w:r>
        <w:rPr>
          <w:rFonts w:ascii="Arial" w:cs="Arial" w:eastAsia="Arial" w:hAnsi="Arial"/>
          <w:color w:val="1A1A1A"/>
          <w:sz w:val="22"/>
          <w:szCs w:val="22"/>
        </w:rPr>
        <w:t xml:space="preserve">The Seller must cooperate with ANIMEX's dispute investigation and provide all requested evidence within the specified timeframe. Evidence may include photographs, videos, veterinary reports, permits, ownership records, microchip records, messages, and handover documentation. ANIMEX may decide marketplace outcomes without limiting external legal rights.</w:t>
      </w:r>
    </w:p>
    <w:p>
      <w:pPr>
        <w:pStyle w:val="Heading2"/>
        <w:spacing w:after="120" w:before="280"/>
      </w:pPr>
      <w:r>
        <w:rPr>
          <w:rFonts w:ascii="Arial" w:cs="Arial" w:eastAsia="Arial" w:hAnsi="Arial"/>
          <w:b/>
          <w:bCs/>
          <w:color w:val="1A1A1A"/>
          <w:sz w:val="26"/>
          <w:szCs w:val="26"/>
        </w:rPr>
        <w:t xml:space="preserve">1.13  Prohibited Conduct</w:t>
      </w:r>
    </w:p>
    <w:p>
      <w:pPr>
        <w:spacing w:after="80" w:before="80"/>
      </w:pPr>
      <w:r>
        <w:rPr>
          <w:rFonts w:ascii="Arial" w:cs="Arial" w:eastAsia="Arial" w:hAnsi="Arial"/>
          <w:color w:val="1A1A1A"/>
          <w:sz w:val="22"/>
          <w:szCs w:val="22"/>
        </w:rPr>
        <w:t xml:space="preserve">The Seller must not use false Listings, bait pricing, duplicate Listings, stolen images, fake documents, platform manipulation, abusive messaging, off-platform circumvention, fraudulent chargebacks, or unlawful Animal trade. The Seller must not circumvent ANIMEX's payment systems or welfare controls.</w:t>
      </w:r>
    </w:p>
    <w:p>
      <w:pPr>
        <w:pStyle w:val="Heading2"/>
        <w:spacing w:after="120" w:before="280"/>
      </w:pPr>
      <w:r>
        <w:rPr>
          <w:rFonts w:ascii="Arial" w:cs="Arial" w:eastAsia="Arial" w:hAnsi="Arial"/>
          <w:b/>
          <w:bCs/>
          <w:color w:val="1A1A1A"/>
          <w:sz w:val="26"/>
          <w:szCs w:val="26"/>
        </w:rPr>
        <w:t xml:space="preserve">1.14  Anti-Bribery and Anti-Corruption</w:t>
      </w:r>
    </w:p>
    <w:p>
      <w:pPr>
        <w:spacing w:after="80" w:before="80"/>
      </w:pPr>
      <w:r>
        <w:rPr>
          <w:rFonts w:ascii="Arial" w:cs="Arial" w:eastAsia="Arial" w:hAnsi="Arial"/>
          <w:color w:val="1A1A1A"/>
          <w:sz w:val="22"/>
          <w:szCs w:val="22"/>
        </w:rPr>
        <w:t xml:space="preserve">The Seller confirms that they have not and will not: offer, give, request, or receive any bribe, facilitation payment, kickback, or other improper payment in connection with any transaction, verification, or outcome on the Platform; engage in any conduct that constitutes corruption under the Prevention and Combating of Corrupt Activities Act 12 of 2004; or attempt to improperly influence any ANIMEX employee, admin, moderator, or support agent.</w:t>
      </w:r>
    </w:p>
    <w:p>
      <w:pPr>
        <w:spacing w:after="80" w:before="80"/>
      </w:pPr>
      <w:r>
        <w:rPr>
          <w:rFonts w:ascii="Arial" w:cs="Arial" w:eastAsia="Arial" w:hAnsi="Arial"/>
          <w:color w:val="1A1A1A"/>
          <w:sz w:val="22"/>
          <w:szCs w:val="22"/>
        </w:rPr>
        <w:t>Any suspected bribery or corruption involving an ANIMEX staff member or the Platform must be reported to ANIMEX's whistleblower channel at info@animexofficial.co.za or via the Information Officer.</w:t>
      </w:r>
    </w:p>
    <w:p>
      <w:pPr>
        <w:pStyle w:val="Heading2"/>
        <w:spacing w:after="120" w:before="280"/>
      </w:pPr>
      <w:r>
        <w:rPr>
          <w:rFonts w:ascii="Arial" w:cs="Arial" w:eastAsia="Arial" w:hAnsi="Arial"/>
          <w:b/>
          <w:bCs/>
          <w:color w:val="1A1A1A"/>
          <w:sz w:val="26"/>
          <w:szCs w:val="26"/>
        </w:rPr>
        <w:t xml:space="preserve">1.15  Anti-Money Laundering Representations</w:t>
      </w:r>
    </w:p>
    <w:p>
      <w:pPr>
        <w:spacing w:after="80" w:before="80"/>
      </w:pPr>
      <w:r>
        <w:rPr>
          <w:rFonts w:ascii="Arial" w:cs="Arial" w:eastAsia="Arial" w:hAnsi="Arial"/>
          <w:color w:val="1A1A1A"/>
          <w:sz w:val="22"/>
          <w:szCs w:val="22"/>
        </w:rPr>
        <w:t xml:space="preserve">The Seller represents that: all funds used in transactions on the Platform are from lawful sources; the Seller is not subject to any sanctions, debarment, or prohibition under the FIC Act or applicable law; no transaction on the Platform is intended to launder money, evade tax, or facilitate a predicate offence under the Proceeds of Crime Act 76 of 1996 or the FIC Act.</w:t>
      </w:r>
    </w:p>
    <w:p>
      <w:pPr>
        <w:pStyle w:val="Heading2"/>
        <w:spacing w:after="120" w:before="280"/>
      </w:pPr>
      <w:r>
        <w:rPr>
          <w:rFonts w:ascii="Arial" w:cs="Arial" w:eastAsia="Arial" w:hAnsi="Arial"/>
          <w:b/>
          <w:bCs/>
          <w:color w:val="1A1A1A"/>
          <w:sz w:val="26"/>
          <w:szCs w:val="26"/>
        </w:rPr>
        <w:t xml:space="preserve">1.16  Records and Audit</w:t>
      </w:r>
    </w:p>
    <w:p>
      <w:pPr>
        <w:spacing w:after="80" w:before="80"/>
      </w:pPr>
      <w:r>
        <w:rPr>
          <w:rFonts w:ascii="Arial" w:cs="Arial" w:eastAsia="Arial" w:hAnsi="Arial"/>
          <w:color w:val="1A1A1A"/>
          <w:sz w:val="22"/>
          <w:szCs w:val="22"/>
        </w:rPr>
        <w:t xml:space="preserve">The Seller must retain transaction, ownership, veterinary, permit, and tax records for the period required by applicable law, and for at least 5 (five) years where no longer period applies. The Seller must provide copies to ANIMEX where required for disputes, compliance, payment risk, or welfare investigation.</w:t>
      </w:r>
    </w:p>
    <w:p>
      <w:pPr>
        <w:pStyle w:val="Heading2"/>
        <w:spacing w:after="120" w:before="280"/>
      </w:pPr>
      <w:r>
        <w:rPr>
          <w:rFonts w:ascii="Arial" w:cs="Arial" w:eastAsia="Arial" w:hAnsi="Arial"/>
          <w:b/>
          <w:bCs/>
          <w:color w:val="1A1A1A"/>
          <w:sz w:val="26"/>
          <w:szCs w:val="26"/>
        </w:rPr>
        <w:t xml:space="preserve">1.17  Indemnity</w:t>
      </w:r>
    </w:p>
    <w:p>
      <w:pPr>
        <w:spacing w:after="80" w:before="80"/>
      </w:pPr>
      <w:r>
        <w:rPr>
          <w:rFonts w:ascii="Arial" w:cs="Arial" w:eastAsia="Arial" w:hAnsi="Arial"/>
          <w:color w:val="1A1A1A"/>
          <w:sz w:val="22"/>
          <w:szCs w:val="22"/>
        </w:rPr>
        <w:t xml:space="preserve">The Seller indemnifies ANIMEX and its directors, employees, contractors, and service providers against all claims, losses, penalties, chargebacks, fines, welfare complaints, legal costs (on an attorney-and-own-client scale), and third-party claims arising from the Seller's Listings, Animals, misrepresentations, law breaches, tax failures, document failures, welfare violations, anti-bribery breaches, or transaction conduct.</w:t>
      </w:r>
    </w:p>
    <w:p>
      <w:pPr>
        <w:pStyle w:val="Heading2"/>
        <w:spacing w:after="120" w:before="280"/>
      </w:pPr>
      <w:r>
        <w:rPr>
          <w:rFonts w:ascii="Arial" w:cs="Arial" w:eastAsia="Arial" w:hAnsi="Arial"/>
          <w:b/>
          <w:bCs/>
          <w:color w:val="1A1A1A"/>
          <w:sz w:val="26"/>
          <w:szCs w:val="26"/>
        </w:rPr>
        <w:t xml:space="preserve">1.18  ANIMEX's Limitation of Liability</w:t>
      </w:r>
    </w:p>
    <w:p>
      <w:pPr>
        <w:spacing w:after="80" w:before="80"/>
      </w:pPr>
      <w:r>
        <w:rPr>
          <w:rFonts w:ascii="Arial" w:cs="Arial" w:eastAsia="Arial" w:hAnsi="Arial"/>
          <w:color w:val="1A1A1A"/>
          <w:sz w:val="22"/>
          <w:szCs w:val="22"/>
        </w:rPr>
        <w:t xml:space="preserve">ANIMEX's liability to the Seller is limited as set out in the Terms and Conditions. ANIMEX is not liable for Buyer conduct, transport events, Animal health after handover, Payment Provider delays, chargebacks beyond ANIMEX's control, or regulatory changes affecting the Platform.</w:t>
      </w:r>
    </w:p>
    <w:p>
      <w:pPr>
        <w:pStyle w:val="Heading2"/>
        <w:spacing w:after="120" w:before="280"/>
      </w:pPr>
      <w:r>
        <w:rPr>
          <w:rFonts w:ascii="Arial" w:cs="Arial" w:eastAsia="Arial" w:hAnsi="Arial"/>
          <w:b/>
          <w:bCs/>
          <w:color w:val="1A1A1A"/>
          <w:sz w:val="26"/>
          <w:szCs w:val="26"/>
        </w:rPr>
        <w:t xml:space="preserve">1.19  Term and Termination</w:t>
      </w:r>
    </w:p>
    <w:p>
      <w:pPr>
        <w:spacing w:after="80" w:before="80"/>
      </w:pPr>
      <w:r>
        <w:rPr>
          <w:rFonts w:ascii="Arial" w:cs="Arial" w:eastAsia="Arial" w:hAnsi="Arial"/>
          <w:color w:val="1A1A1A"/>
          <w:sz w:val="22"/>
          <w:szCs w:val="22"/>
        </w:rPr>
        <w:t xml:space="preserve">This Agreement commences when the Seller accepts it and continues until terminated. Either party may terminate on 20 (twenty) business days' written notice. ANIMEX may terminate immediately for fraud, welfare violations, illegal listings, document falsification, or repeated material policy breaches. Termination does not release the Seller from obligations incurred before termination. Clauses on fees, chargebacks, tax, indemnity, anti-bribery, anti-money laundering, records, and confidentiality survive termination.</w:t>
      </w:r>
    </w:p>
    <w:p>
      <w:pPr>
        <w:pStyle w:val="Heading2"/>
        <w:spacing w:after="120" w:before="280"/>
      </w:pPr>
      <w:r>
        <w:rPr>
          <w:rFonts w:ascii="Arial" w:cs="Arial" w:eastAsia="Arial" w:hAnsi="Arial"/>
          <w:b/>
          <w:bCs/>
          <w:color w:val="1A1A1A"/>
          <w:sz w:val="26"/>
          <w:szCs w:val="26"/>
        </w:rPr>
        <w:t xml:space="preserve">1.20  Governing Law</w:t>
      </w:r>
    </w:p>
    <w:p>
      <w:pPr>
        <w:spacing w:after="80" w:before="80"/>
      </w:pPr>
      <w:r>
        <w:rPr>
          <w:rFonts w:ascii="Arial" w:cs="Arial" w:eastAsia="Arial" w:hAnsi="Arial"/>
          <w:color w:val="1A1A1A"/>
          <w:sz w:val="22"/>
          <w:szCs w:val="22"/>
        </w:rPr>
        <w:t xml:space="preserve">This Agreement is governed by South African law and subject to the jurisdiction provisions in the ANIMEX Terms and Conditions.</w:t>
      </w:r>
    </w:p>
    <w:p>
      <w:pPr>
        <w:pStyle w:val="Heading2"/>
        <w:spacing w:after="120" w:before="280"/>
      </w:pPr>
      <w:r>
        <w:rPr>
          <w:rFonts w:ascii="Arial" w:cs="Arial" w:eastAsia="Arial" w:hAnsi="Arial"/>
          <w:b/>
          <w:bCs/>
          <w:color w:val="1A1A1A"/>
          <w:sz w:val="26"/>
          <w:szCs w:val="26"/>
        </w:rPr>
        <w:t xml:space="preserve">1.21  Execution</w:t>
      </w:r>
    </w:p>
    <w:p>
      <w:pPr>
        <w:spacing w:after="80" w:before="80"/>
      </w:pPr>
      <w:r>
        <w:rPr>
          <w:rFonts w:ascii="Arial" w:cs="Arial" w:eastAsia="Arial" w:hAnsi="Arial"/>
          <w:color w:val="1A1A1A"/>
          <w:sz w:val="22"/>
          <w:szCs w:val="22"/>
        </w:rPr>
        <w:t xml:space="preserve">Executed electronically by completion of the ANIMEX seller registration and activation process, constituting a legally binding electronic agreement under the ECT Act.</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Seller (full name and ID number):</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Welfare Organisation Partnership Agreement</w:t>
      </w:r>
    </w:p>
    <w:p>
      <w:pPr>
        <w:spacing w:after="80" w:before="80"/>
      </w:pPr>
      <w:r>
        <w:rPr>
          <w:rFonts w:ascii="Arial" w:cs="Arial" w:eastAsia="Arial" w:hAnsi="Arial"/>
          <w:color w:val="1A1A1A"/>
          <w:sz w:val="22"/>
          <w:szCs w:val="22"/>
        </w:rPr>
        <w:t>This Welfare Organisation Partnership Agreement ("Agreement") is between ANIMEX (Pty) Ltd ("ANIMEX") and the shelter, SPCA branch, or animal welfare organisation identified during verification ("Welfare Partner").</w:t>
      </w:r>
    </w:p>
    <w:p>
      <w:pPr>
        <w:pStyle w:val="Heading2"/>
        <w:spacing w:after="120" w:before="280"/>
      </w:pPr>
      <w:r>
        <w:rPr>
          <w:rFonts w:ascii="Arial" w:cs="Arial" w:eastAsia="Arial" w:hAnsi="Arial"/>
          <w:b/>
          <w:bCs/>
          <w:color w:val="1A1A1A"/>
          <w:sz w:val="26"/>
          <w:szCs w:val="26"/>
        </w:rPr>
        <w:t xml:space="preserve">2.1  Verification and Welfare-Verified Status</w:t>
      </w:r>
    </w:p>
    <w:p>
      <w:pPr>
        <w:spacing w:after="80" w:before="80"/>
      </w:pPr>
      <w:r>
        <w:rPr>
          <w:rFonts w:ascii="Arial" w:cs="Arial" w:eastAsia="Arial" w:hAnsi="Arial"/>
          <w:color w:val="1A1A1A"/>
          <w:sz w:val="22"/>
          <w:szCs w:val="22"/>
        </w:rPr>
        <w:t xml:space="preserve">The Welfare Partner must submit and ANIMEX must approve:</w:t>
      </w:r>
    </w:p>
    <w:p>
      <w:pPr>
        <w:pStyle w:val="ListParagraph"/>
        <w:numPr>
          <w:ilvl w:val="0"/>
          <w:numId w:val="2"/>
        </w:numPr>
        <w:spacing w:after="40" w:before="40"/>
      </w:pPr>
      <w:r>
        <w:rPr>
          <w:rFonts w:ascii="Arial" w:cs="Arial" w:eastAsia="Arial" w:hAnsi="Arial"/>
          <w:color w:val="1A1A1A"/>
          <w:sz w:val="22"/>
          <w:szCs w:val="22"/>
        </w:rPr>
        <w:t xml:space="preserve">proof of registration as a non-profit organisation (NPO), public benefit organisation (PBO), SPCA branch, or equivalent welfare body;</w:t>
      </w:r>
    </w:p>
    <w:p>
      <w:pPr>
        <w:pStyle w:val="ListParagraph"/>
        <w:numPr>
          <w:ilvl w:val="0"/>
          <w:numId w:val="2"/>
        </w:numPr>
        <w:spacing w:after="40" w:before="40"/>
      </w:pPr>
      <w:r>
        <w:rPr>
          <w:rFonts w:ascii="Arial" w:cs="Arial" w:eastAsia="Arial" w:hAnsi="Arial"/>
          <w:color w:val="1A1A1A"/>
          <w:sz w:val="22"/>
          <w:szCs w:val="22"/>
        </w:rPr>
        <w:t xml:space="preserve">NSPCA (National Council of SPCAs) or provincial SPCA affiliation confirmation, where applicable;</w:t>
      </w:r>
    </w:p>
    <w:p>
      <w:pPr>
        <w:pStyle w:val="ListParagraph"/>
        <w:numPr>
          <w:ilvl w:val="0"/>
          <w:numId w:val="2"/>
        </w:numPr>
        <w:spacing w:after="40" w:before="40"/>
      </w:pPr>
      <w:r>
        <w:rPr>
          <w:rFonts w:ascii="Arial" w:cs="Arial" w:eastAsia="Arial" w:hAnsi="Arial"/>
          <w:color w:val="1A1A1A"/>
          <w:sz w:val="22"/>
          <w:szCs w:val="22"/>
        </w:rPr>
        <w:t xml:space="preserve">confirmation of compliance with the Animals Protection Act, SPCA Act 169 of 1993, and applicable welfare norms;</w:t>
      </w:r>
    </w:p>
    <w:p>
      <w:pPr>
        <w:pStyle w:val="ListParagraph"/>
        <w:numPr>
          <w:ilvl w:val="0"/>
          <w:numId w:val="2"/>
        </w:numPr>
        <w:spacing w:after="40" w:before="40"/>
      </w:pPr>
      <w:r>
        <w:rPr>
          <w:rFonts w:ascii="Arial" w:cs="Arial" w:eastAsia="Arial" w:hAnsi="Arial"/>
          <w:color w:val="1A1A1A"/>
          <w:sz w:val="22"/>
          <w:szCs w:val="22"/>
        </w:rPr>
        <w:t xml:space="preserve">details of a designated welfare officer or coordinator;</w:t>
      </w:r>
    </w:p>
    <w:p>
      <w:pPr>
        <w:pStyle w:val="ListParagraph"/>
        <w:numPr>
          <w:ilvl w:val="0"/>
          <w:numId w:val="2"/>
        </w:numPr>
        <w:spacing w:after="40" w:before="40"/>
      </w:pPr>
      <w:r>
        <w:rPr>
          <w:rFonts w:ascii="Arial" w:cs="Arial" w:eastAsia="Arial" w:hAnsi="Arial"/>
          <w:color w:val="1A1A1A"/>
          <w:sz w:val="22"/>
          <w:szCs w:val="22"/>
        </w:rPr>
        <w:t xml:space="preserve">proof of premises, foster network, or operational capacity;</w:t>
      </w:r>
    </w:p>
    <w:p>
      <w:pPr>
        <w:pStyle w:val="ListParagraph"/>
        <w:numPr>
          <w:ilvl w:val="0"/>
          <w:numId w:val="2"/>
        </w:numPr>
        <w:spacing w:after="40" w:before="40"/>
      </w:pPr>
      <w:r>
        <w:rPr>
          <w:rFonts w:ascii="Arial" w:cs="Arial" w:eastAsia="Arial" w:hAnsi="Arial"/>
          <w:color w:val="1A1A1A"/>
          <w:sz w:val="22"/>
          <w:szCs w:val="22"/>
        </w:rPr>
        <w:t xml:space="preserve">banking details for adoption fee receipt.</w:t>
      </w:r>
    </w:p>
    <w:p>
      <w:pPr>
        <w:spacing w:after="80" w:before="80"/>
      </w:pPr>
      <w:r>
        <w:rPr>
          <w:rFonts w:ascii="Arial" w:cs="Arial" w:eastAsia="Arial" w:hAnsi="Arial"/>
          <w:color w:val="1A1A1A"/>
          <w:sz w:val="22"/>
          <w:szCs w:val="22"/>
        </w:rPr>
        <w:t xml:space="preserve">Welfare-Verified status is awarded at ANIMEX's discretion, is non-transferable, and may be suspended or withdrawn at any time for welfare risk, misrepresentation, inactivity, complaints, or failure to cooperate.</w:t>
      </w:r>
    </w:p>
    <w:p>
      <w:pPr>
        <w:pStyle w:val="Heading2"/>
        <w:spacing w:after="120" w:before="280"/>
      </w:pPr>
      <w:r>
        <w:rPr>
          <w:rFonts w:ascii="Arial" w:cs="Arial" w:eastAsia="Arial" w:hAnsi="Arial"/>
          <w:b/>
          <w:bCs/>
          <w:color w:val="1A1A1A"/>
          <w:sz w:val="26"/>
          <w:szCs w:val="26"/>
        </w:rPr>
        <w:t xml:space="preserve">2.2  Welfare Partner Rights on the Platform</w:t>
      </w:r>
    </w:p>
    <w:p>
      <w:pPr>
        <w:spacing w:after="80" w:before="80"/>
      </w:pPr>
      <w:r>
        <w:rPr>
          <w:rFonts w:ascii="Arial" w:cs="Arial" w:eastAsia="Arial" w:hAnsi="Arial"/>
          <w:color w:val="1A1A1A"/>
          <w:sz w:val="22"/>
          <w:szCs w:val="22"/>
        </w:rPr>
        <w:t xml:space="preserve">A Welfare-Verified Partner may:</w:t>
      </w:r>
    </w:p>
    <w:p>
      <w:pPr>
        <w:pStyle w:val="ListParagraph"/>
        <w:numPr>
          <w:ilvl w:val="0"/>
          <w:numId w:val="2"/>
        </w:numPr>
        <w:spacing w:after="40" w:before="40"/>
      </w:pPr>
      <w:r>
        <w:rPr>
          <w:rFonts w:ascii="Arial" w:cs="Arial" w:eastAsia="Arial" w:hAnsi="Arial"/>
          <w:color w:val="1A1A1A"/>
          <w:sz w:val="22"/>
          <w:szCs w:val="22"/>
        </w:rPr>
        <w:t xml:space="preserve">post adoption Listings, including welfare-disclosed recovery Animals;</w:t>
      </w:r>
    </w:p>
    <w:p>
      <w:pPr>
        <w:pStyle w:val="ListParagraph"/>
        <w:numPr>
          <w:ilvl w:val="0"/>
          <w:numId w:val="2"/>
        </w:numPr>
        <w:spacing w:after="40" w:before="40"/>
      </w:pPr>
      <w:r>
        <w:rPr>
          <w:rFonts w:ascii="Arial" w:cs="Arial" w:eastAsia="Arial" w:hAnsi="Arial"/>
          <w:color w:val="1A1A1A"/>
          <w:sz w:val="22"/>
          <w:szCs w:val="22"/>
        </w:rPr>
        <w:t xml:space="preserve">receive adoption fees from adopters via ANIMEX's collection mechanism, subject to ANIMEX's service fee;</w:t>
      </w:r>
    </w:p>
    <w:p>
      <w:pPr>
        <w:pStyle w:val="ListParagraph"/>
        <w:numPr>
          <w:ilvl w:val="0"/>
          <w:numId w:val="2"/>
        </w:numPr>
        <w:spacing w:after="40" w:before="40"/>
      </w:pPr>
      <w:r>
        <w:rPr>
          <w:rFonts w:ascii="Arial" w:cs="Arial" w:eastAsia="Arial" w:hAnsi="Arial"/>
          <w:color w:val="1A1A1A"/>
          <w:sz w:val="22"/>
          <w:szCs w:val="22"/>
        </w:rPr>
        <w:t xml:space="preserve">display the Welfare-Verified badge on Listings and the Partner profile;</w:t>
      </w:r>
    </w:p>
    <w:p>
      <w:pPr>
        <w:pStyle w:val="ListParagraph"/>
        <w:numPr>
          <w:ilvl w:val="0"/>
          <w:numId w:val="2"/>
        </w:numPr>
        <w:spacing w:after="40" w:before="40"/>
      </w:pPr>
      <w:r>
        <w:rPr>
          <w:rFonts w:ascii="Arial" w:cs="Arial" w:eastAsia="Arial" w:hAnsi="Arial"/>
          <w:color w:val="1A1A1A"/>
          <w:sz w:val="22"/>
          <w:szCs w:val="22"/>
        </w:rPr>
        <w:t xml:space="preserve">communicate with prospective adopters through the Platform;</w:t>
      </w:r>
    </w:p>
    <w:p>
      <w:pPr>
        <w:pStyle w:val="ListParagraph"/>
        <w:numPr>
          <w:ilvl w:val="0"/>
          <w:numId w:val="2"/>
        </w:numPr>
        <w:spacing w:after="40" w:before="40"/>
      </w:pPr>
      <w:r>
        <w:rPr>
          <w:rFonts w:ascii="Arial" w:cs="Arial" w:eastAsia="Arial" w:hAnsi="Arial"/>
          <w:color w:val="1A1A1A"/>
          <w:sz w:val="22"/>
          <w:szCs w:val="22"/>
        </w:rPr>
        <w:t xml:space="preserve">receive post-adoption welfare check-in results through the Platform.</w:t>
      </w:r>
    </w:p>
    <w:p>
      <w:pPr>
        <w:pStyle w:val="Heading2"/>
        <w:spacing w:after="120" w:before="280"/>
      </w:pPr>
      <w:r>
        <w:rPr>
          <w:rFonts w:ascii="Arial" w:cs="Arial" w:eastAsia="Arial" w:hAnsi="Arial"/>
          <w:b/>
          <w:bCs/>
          <w:color w:val="1A1A1A"/>
          <w:sz w:val="26"/>
          <w:szCs w:val="26"/>
        </w:rPr>
        <w:t xml:space="preserve">2.3  Welfare Partner Obligations</w:t>
      </w:r>
    </w:p>
    <w:p>
      <w:pPr>
        <w:spacing w:after="80" w:before="80"/>
      </w:pPr>
      <w:r>
        <w:rPr>
          <w:rFonts w:ascii="Arial" w:cs="Arial" w:eastAsia="Arial" w:hAnsi="Arial"/>
          <w:color w:val="1A1A1A"/>
          <w:sz w:val="22"/>
          <w:szCs w:val="22"/>
        </w:rPr>
        <w:t xml:space="preserve">The Welfare Partner must:</w:t>
      </w:r>
    </w:p>
    <w:p>
      <w:pPr>
        <w:pStyle w:val="ListParagraph"/>
        <w:numPr>
          <w:ilvl w:val="0"/>
          <w:numId w:val="2"/>
        </w:numPr>
        <w:spacing w:after="40" w:before="40"/>
      </w:pPr>
      <w:r>
        <w:rPr>
          <w:rFonts w:ascii="Arial" w:cs="Arial" w:eastAsia="Arial" w:hAnsi="Arial"/>
          <w:color w:val="1A1A1A"/>
          <w:sz w:val="22"/>
          <w:szCs w:val="22"/>
        </w:rPr>
        <w:t xml:space="preserve">ensure all Listings are accurate, honest, current, and include all required welfare disclosures;</w:t>
      </w:r>
    </w:p>
    <w:p>
      <w:pPr>
        <w:pStyle w:val="ListParagraph"/>
        <w:numPr>
          <w:ilvl w:val="0"/>
          <w:numId w:val="2"/>
        </w:numPr>
        <w:spacing w:after="40" w:before="40"/>
      </w:pPr>
      <w:r>
        <w:rPr>
          <w:rFonts w:ascii="Arial" w:cs="Arial" w:eastAsia="Arial" w:hAnsi="Arial"/>
          <w:color w:val="1A1A1A"/>
          <w:sz w:val="22"/>
          <w:szCs w:val="22"/>
        </w:rPr>
        <w:t xml:space="preserve">follow the ANIMEX adoption process: apply, review, approve, payment, and handover;</w:t>
      </w:r>
    </w:p>
    <w:p>
      <w:pPr>
        <w:pStyle w:val="ListParagraph"/>
        <w:numPr>
          <w:ilvl w:val="0"/>
          <w:numId w:val="2"/>
        </w:numPr>
        <w:spacing w:after="40" w:before="40"/>
      </w:pPr>
      <w:r>
        <w:rPr>
          <w:rFonts w:ascii="Arial" w:cs="Arial" w:eastAsia="Arial" w:hAnsi="Arial"/>
          <w:color w:val="1A1A1A"/>
          <w:sz w:val="22"/>
          <w:szCs w:val="22"/>
        </w:rPr>
        <w:t xml:space="preserve">conduct adoption suitability assessments with due care and in the best interests of the Animal;</w:t>
      </w:r>
    </w:p>
    <w:p>
      <w:pPr>
        <w:pStyle w:val="ListParagraph"/>
        <w:numPr>
          <w:ilvl w:val="0"/>
          <w:numId w:val="2"/>
        </w:numPr>
        <w:spacing w:after="40" w:before="40"/>
      </w:pPr>
      <w:r>
        <w:rPr>
          <w:rFonts w:ascii="Arial" w:cs="Arial" w:eastAsia="Arial" w:hAnsi="Arial"/>
          <w:color w:val="1A1A1A"/>
          <w:sz w:val="22"/>
          <w:szCs w:val="22"/>
        </w:rPr>
        <w:t xml:space="preserve">approve adoptions only to verified, suitable, and lawfully capable homes;</w:t>
      </w:r>
    </w:p>
    <w:p>
      <w:pPr>
        <w:pStyle w:val="ListParagraph"/>
        <w:numPr>
          <w:ilvl w:val="0"/>
          <w:numId w:val="2"/>
        </w:numPr>
        <w:spacing w:after="40" w:before="40"/>
      </w:pPr>
      <w:r>
        <w:rPr>
          <w:rFonts w:ascii="Arial" w:cs="Arial" w:eastAsia="Arial" w:hAnsi="Arial"/>
          <w:color w:val="1A1A1A"/>
          <w:sz w:val="22"/>
          <w:szCs w:val="22"/>
        </w:rPr>
        <w:t xml:space="preserve">cooperate with ANIMEX's post-adoption welfare check-in programme;</w:t>
      </w:r>
    </w:p>
    <w:p>
      <w:pPr>
        <w:pStyle w:val="ListParagraph"/>
        <w:numPr>
          <w:ilvl w:val="0"/>
          <w:numId w:val="2"/>
        </w:numPr>
        <w:spacing w:after="40" w:before="40"/>
      </w:pPr>
      <w:r>
        <w:rPr>
          <w:rFonts w:ascii="Arial" w:cs="Arial" w:eastAsia="Arial" w:hAnsi="Arial"/>
          <w:color w:val="1A1A1A"/>
          <w:sz w:val="22"/>
          <w:szCs w:val="22"/>
        </w:rPr>
        <w:t xml:space="preserve">maintain adoption, welfare, and handover records and make them available to ANIMEX on reasonable request;</w:t>
      </w:r>
    </w:p>
    <w:p>
      <w:pPr>
        <w:pStyle w:val="ListParagraph"/>
        <w:numPr>
          <w:ilvl w:val="0"/>
          <w:numId w:val="2"/>
        </w:numPr>
        <w:spacing w:after="40" w:before="40"/>
      </w:pPr>
      <w:r>
        <w:rPr>
          <w:rFonts w:ascii="Arial" w:cs="Arial" w:eastAsia="Arial" w:hAnsi="Arial"/>
          <w:color w:val="1A1A1A"/>
          <w:sz w:val="22"/>
          <w:szCs w:val="22"/>
        </w:rPr>
        <w:t xml:space="preserve">comply with POPIA when processing adopter personal information;</w:t>
      </w:r>
    </w:p>
    <w:p>
      <w:pPr>
        <w:pStyle w:val="ListParagraph"/>
        <w:numPr>
          <w:ilvl w:val="0"/>
          <w:numId w:val="2"/>
        </w:numPr>
        <w:spacing w:after="40" w:before="40"/>
      </w:pPr>
      <w:r>
        <w:rPr>
          <w:rFonts w:ascii="Arial" w:cs="Arial" w:eastAsia="Arial" w:hAnsi="Arial"/>
          <w:color w:val="1A1A1A"/>
          <w:sz w:val="22"/>
          <w:szCs w:val="22"/>
        </w:rPr>
        <w:t xml:space="preserve">not use the Platform for commercial Animal sales except where ANIMEX expressly agrees in writing;</w:t>
      </w:r>
    </w:p>
    <w:p>
      <w:pPr>
        <w:pStyle w:val="ListParagraph"/>
        <w:numPr>
          <w:ilvl w:val="0"/>
          <w:numId w:val="2"/>
        </w:numPr>
        <w:spacing w:after="40" w:before="40"/>
      </w:pPr>
      <w:r>
        <w:rPr>
          <w:rFonts w:ascii="Arial" w:cs="Arial" w:eastAsia="Arial" w:hAnsi="Arial"/>
          <w:color w:val="1A1A1A"/>
          <w:sz w:val="22"/>
          <w:szCs w:val="22"/>
        </w:rPr>
        <w:t xml:space="preserve">maintain adequate supervision, veterinary access, and humane conditions for all Animals in the Partner's care.</w:t>
      </w:r>
    </w:p>
    <w:p>
      <w:pPr>
        <w:pStyle w:val="Heading2"/>
        <w:spacing w:after="120" w:before="280"/>
      </w:pPr>
      <w:r>
        <w:rPr>
          <w:rFonts w:ascii="Arial" w:cs="Arial" w:eastAsia="Arial" w:hAnsi="Arial"/>
          <w:b/>
          <w:bCs/>
          <w:color w:val="1A1A1A"/>
          <w:sz w:val="26"/>
          <w:szCs w:val="26"/>
        </w:rPr>
        <w:t xml:space="preserve">2.4  Adoption Authority</w:t>
      </w:r>
    </w:p>
    <w:p>
      <w:pPr>
        <w:spacing w:after="80" w:before="80"/>
      </w:pPr>
      <w:r>
        <w:rPr>
          <w:rFonts w:ascii="Arial" w:cs="Arial" w:eastAsia="Arial" w:hAnsi="Arial"/>
          <w:color w:val="1A1A1A"/>
          <w:sz w:val="22"/>
          <w:szCs w:val="22"/>
        </w:rPr>
        <w:t xml:space="preserve">The Welfare Partner retains full authority over adoption suitability assessments and final approval decisions. ANIMEX does not assume responsibility for adoption suitability assessments unless expressly agreed in writing. ANIMEX may, however, impose additional welfare criteria and may refuse to process any adoption transaction where welfare concerns arise.</w:t>
      </w:r>
    </w:p>
    <w:p>
      <w:pPr>
        <w:pStyle w:val="Heading2"/>
        <w:spacing w:after="120" w:before="280"/>
      </w:pPr>
      <w:r>
        <w:rPr>
          <w:rFonts w:ascii="Arial" w:cs="Arial" w:eastAsia="Arial" w:hAnsi="Arial"/>
          <w:b/>
          <w:bCs/>
          <w:color w:val="1A1A1A"/>
          <w:sz w:val="26"/>
          <w:szCs w:val="26"/>
        </w:rPr>
        <w:t xml:space="preserve">2.5  Adoption Fees and ANIMEX Service Fee</w:t>
      </w:r>
    </w:p>
    <w:p>
      <w:pPr>
        <w:spacing w:after="80" w:before="80"/>
      </w:pPr>
      <w:r>
        <w:rPr>
          <w:rFonts w:ascii="Arial" w:cs="Arial" w:eastAsia="Arial" w:hAnsi="Arial"/>
          <w:color w:val="1A1A1A"/>
          <w:sz w:val="22"/>
          <w:szCs w:val="22"/>
        </w:rPr>
        <w:t xml:space="preserve">Adoption fees remain payable to the Welfare Partner via ANIMEX's collection mechanism. ANIMEX may charge a disclosed service fee deducted from the adoption fee payout. Adoption fees are non-refundable once an adoption is completed unless the Welfare Partner expressly approves a refund or applicable law requires it.</w:t>
      </w:r>
    </w:p>
    <w:p>
      <w:pPr>
        <w:pStyle w:val="Heading2"/>
        <w:spacing w:after="120" w:before="280"/>
      </w:pPr>
      <w:r>
        <w:rPr>
          <w:rFonts w:ascii="Arial" w:cs="Arial" w:eastAsia="Arial" w:hAnsi="Arial"/>
          <w:b/>
          <w:bCs/>
          <w:color w:val="1A1A1A"/>
          <w:sz w:val="26"/>
          <w:szCs w:val="26"/>
        </w:rPr>
        <w:t xml:space="preserve">2.6  Post-Adoption Return</w:t>
      </w:r>
    </w:p>
    <w:p>
      <w:pPr>
        <w:spacing w:after="80" w:before="80"/>
      </w:pPr>
      <w:r>
        <w:rPr>
          <w:rFonts w:ascii="Arial" w:cs="Arial" w:eastAsia="Arial" w:hAnsi="Arial"/>
          <w:color w:val="1A1A1A"/>
          <w:sz w:val="22"/>
          <w:szCs w:val="22"/>
        </w:rPr>
        <w:t xml:space="preserve">If an adopted Animal can no longer remain with the adopter, the adopter must contact the Welfare Partner before surrendering to any third party. The Welfare Partner must maintain a practical procedure for post-adoption returns and welfare referrals and must communicate this procedure to adopters at the time of adoption.</w:t>
      </w:r>
    </w:p>
    <w:p>
      <w:pPr>
        <w:pStyle w:val="Heading2"/>
        <w:spacing w:after="120" w:before="280"/>
      </w:pPr>
      <w:r>
        <w:rPr>
          <w:rFonts w:ascii="Arial" w:cs="Arial" w:eastAsia="Arial" w:hAnsi="Arial"/>
          <w:b/>
          <w:bCs/>
          <w:color w:val="1A1A1A"/>
          <w:sz w:val="26"/>
          <w:szCs w:val="26"/>
        </w:rPr>
        <w:t xml:space="preserve">2.7  Animal Welfare Standards in Care</w:t>
      </w:r>
    </w:p>
    <w:p>
      <w:pPr>
        <w:spacing w:after="80" w:before="80"/>
      </w:pPr>
      <w:r>
        <w:rPr>
          <w:rFonts w:ascii="Arial" w:cs="Arial" w:eastAsia="Arial" w:hAnsi="Arial"/>
          <w:color w:val="1A1A1A"/>
          <w:sz w:val="22"/>
          <w:szCs w:val="22"/>
        </w:rPr>
        <w:t xml:space="preserve">All Animals listed for adoption must be: receiving appropriate veterinary care, nutrition, and socialisation; housed in humane conditions meeting or exceeding applicable welfare standards; not listed unless fit for adoption or disclosed as recovery Animals with full clinical details.</w:t>
      </w:r>
    </w:p>
    <w:p>
      <w:pPr>
        <w:pStyle w:val="Heading2"/>
        <w:spacing w:after="120" w:before="280"/>
      </w:pPr>
      <w:r>
        <w:rPr>
          <w:rFonts w:ascii="Arial" w:cs="Arial" w:eastAsia="Arial" w:hAnsi="Arial"/>
          <w:b/>
          <w:bCs/>
          <w:color w:val="1A1A1A"/>
          <w:sz w:val="26"/>
          <w:szCs w:val="26"/>
        </w:rPr>
        <w:t xml:space="preserve">2.8  Insurance and Liability</w:t>
      </w:r>
    </w:p>
    <w:p>
      <w:pPr>
        <w:spacing w:after="80" w:before="80"/>
      </w:pPr>
      <w:r>
        <w:rPr>
          <w:rFonts w:ascii="Arial" w:cs="Arial" w:eastAsia="Arial" w:hAnsi="Arial"/>
          <w:color w:val="1A1A1A"/>
          <w:sz w:val="22"/>
          <w:szCs w:val="22"/>
        </w:rPr>
        <w:t xml:space="preserve">The Welfare Partner is strongly recommended to hold appropriate liability insurance covering its welfare activities, adoption decisions, and volunteer or staff conduct. ANIMEX is not responsible for adoption suitability outcomes, post-adoption Animal welfare, shelter operations, foster network conduct, or the Welfare Partner's decisions.</w:t>
      </w:r>
    </w:p>
    <w:p>
      <w:pPr>
        <w:pStyle w:val="Heading2"/>
        <w:spacing w:after="120" w:before="280"/>
      </w:pPr>
      <w:r>
        <w:rPr>
          <w:rFonts w:ascii="Arial" w:cs="Arial" w:eastAsia="Arial" w:hAnsi="Arial"/>
          <w:b/>
          <w:bCs/>
          <w:color w:val="1A1A1A"/>
          <w:sz w:val="26"/>
          <w:szCs w:val="26"/>
        </w:rPr>
        <w:t xml:space="preserve">2.9  Data Protection</w:t>
      </w:r>
    </w:p>
    <w:p>
      <w:pPr>
        <w:spacing w:after="80" w:before="80"/>
      </w:pPr>
      <w:r>
        <w:rPr>
          <w:rFonts w:ascii="Arial" w:cs="Arial" w:eastAsia="Arial" w:hAnsi="Arial"/>
          <w:color w:val="1A1A1A"/>
          <w:sz w:val="22"/>
          <w:szCs w:val="22"/>
        </w:rPr>
        <w:t xml:space="preserve">The Welfare Partner must process adopter personal information only for lawful adoption, welfare, communication, and recordkeeping purposes consistent with POPIA. The Welfare Partner must not sell or misuse adopter personal information. Where the Welfare Partner processes personal information on behalf of ANIMEX, it does so as an operator under section 21 of POPIA and must apply equivalent data protection measures.</w:t>
      </w:r>
    </w:p>
    <w:p>
      <w:pPr>
        <w:pStyle w:val="Heading2"/>
        <w:spacing w:after="120" w:before="280"/>
      </w:pPr>
      <w:r>
        <w:rPr>
          <w:rFonts w:ascii="Arial" w:cs="Arial" w:eastAsia="Arial" w:hAnsi="Arial"/>
          <w:b/>
          <w:bCs/>
          <w:color w:val="1A1A1A"/>
          <w:sz w:val="26"/>
          <w:szCs w:val="26"/>
        </w:rPr>
        <w:t xml:space="preserve">2.10  Branding and Marketing</w:t>
      </w:r>
    </w:p>
    <w:p>
      <w:pPr>
        <w:spacing w:after="80" w:before="80"/>
      </w:pPr>
      <w:r>
        <w:rPr>
          <w:rFonts w:ascii="Arial" w:cs="Arial" w:eastAsia="Arial" w:hAnsi="Arial"/>
          <w:color w:val="1A1A1A"/>
          <w:sz w:val="22"/>
          <w:szCs w:val="22"/>
        </w:rPr>
        <w:t xml:space="preserve">The Welfare Partner may describe ANIMEX as a listing and adoption platform used by the Welfare Partner. The Welfare Partner may not represent ANIMEX as endorsing, funding, or financially supporting the Welfare Partner unless expressly agreed in writing. ANIMEX may feature the Welfare Partner's name, logo, Listings, and adoption stories for Platform operation and promotion, subject to the Welfare Partner's prior written approval for each specific campaign use.</w:t>
      </w:r>
    </w:p>
    <w:p>
      <w:pPr>
        <w:pStyle w:val="Heading2"/>
        <w:spacing w:after="120" w:before="280"/>
      </w:pPr>
      <w:r>
        <w:rPr>
          <w:rFonts w:ascii="Arial" w:cs="Arial" w:eastAsia="Arial" w:hAnsi="Arial"/>
          <w:b/>
          <w:bCs/>
          <w:color w:val="1A1A1A"/>
          <w:sz w:val="26"/>
          <w:szCs w:val="26"/>
        </w:rPr>
        <w:t xml:space="preserve">2.11  Free Listing Period</w:t>
      </w:r>
    </w:p>
    <w:p>
      <w:pPr>
        <w:spacing w:after="80" w:before="80"/>
      </w:pPr>
      <w:r>
        <w:rPr>
          <w:rFonts w:ascii="Arial" w:cs="Arial" w:eastAsia="Arial" w:hAnsi="Arial"/>
          <w:color w:val="1A1A1A"/>
          <w:sz w:val="22"/>
          <w:szCs w:val="22"/>
        </w:rPr>
        <w:t>ANIMEX offers Welfare-Verified Partners ACTION REQUIRED: insert approved free-listing period if applicable months of complimentary listing access from the date of verification approval. Thereafter, ANIMEX's standard fee schedule applies unless a separate written arrangement is agreed.</w:t>
      </w:r>
    </w:p>
    <w:p>
      <w:pPr>
        <w:shd w:fill="EEF4FB" w:val="clear"/>
        <w:spacing w:after="80" w:before="80"/>
        <w:ind w:left="360" w:right="360"/>
      </w:pPr>
      <w:r>
        <w:rPr>
          <w:rFonts w:ascii="Arial" w:cs="Arial" w:eastAsia="Arial" w:hAnsi="Arial"/>
          <w:i/>
          <w:iCs/>
          <w:color w:val="2F5496"/>
          <w:sz w:val="20"/>
          <w:szCs w:val="20"/>
        </w:rPr>
        <w:t xml:space="preserve">INTERNAL NOTE: Confirm the exact free listing term, any conditions, and whether this applies to ANIMEX service fees or listing fees only.</w:t>
      </w:r>
    </w:p>
    <w:p>
      <w:pPr>
        <w:pStyle w:val="Heading2"/>
        <w:spacing w:after="120" w:before="280"/>
      </w:pPr>
      <w:r>
        <w:rPr>
          <w:rFonts w:ascii="Arial" w:cs="Arial" w:eastAsia="Arial" w:hAnsi="Arial"/>
          <w:b/>
          <w:bCs/>
          <w:color w:val="1A1A1A"/>
          <w:sz w:val="26"/>
          <w:szCs w:val="26"/>
        </w:rPr>
        <w:t xml:space="preserve">2.12  Independence</w:t>
      </w:r>
    </w:p>
    <w:p>
      <w:pPr>
        <w:spacing w:after="80" w:before="80"/>
      </w:pPr>
      <w:r>
        <w:rPr>
          <w:rFonts w:ascii="Arial" w:cs="Arial" w:eastAsia="Arial" w:hAnsi="Arial"/>
          <w:color w:val="1A1A1A"/>
          <w:sz w:val="22"/>
          <w:szCs w:val="22"/>
        </w:rPr>
        <w:t xml:space="preserve">The parties are independent contractors. This Agreement does not create employment, agency beyond stated Platform functions, partnership, joint venture, or fiduciary relationship.</w:t>
      </w:r>
    </w:p>
    <w:p>
      <w:pPr>
        <w:pStyle w:val="Heading2"/>
        <w:spacing w:after="120" w:before="280"/>
      </w:pPr>
      <w:r>
        <w:rPr>
          <w:rFonts w:ascii="Arial" w:cs="Arial" w:eastAsia="Arial" w:hAnsi="Arial"/>
          <w:b/>
          <w:bCs/>
          <w:color w:val="1A1A1A"/>
          <w:sz w:val="26"/>
          <w:szCs w:val="26"/>
        </w:rPr>
        <w:t xml:space="preserve">2.13  Indemnity</w:t>
      </w:r>
    </w:p>
    <w:p>
      <w:pPr>
        <w:spacing w:after="80" w:before="80"/>
      </w:pPr>
      <w:r>
        <w:rPr>
          <w:rFonts w:ascii="Arial" w:cs="Arial" w:eastAsia="Arial" w:hAnsi="Arial"/>
          <w:color w:val="1A1A1A"/>
          <w:sz w:val="22"/>
          <w:szCs w:val="22"/>
        </w:rPr>
        <w:t xml:space="preserve">The Welfare Partner indemnifies ANIMEX against claims arising from adoption decisions, welfare assessments, Animal care failures, data protection breaches, misrepresentation, or failure to comply with applicable law.</w:t>
      </w:r>
    </w:p>
    <w:p>
      <w:pPr>
        <w:pStyle w:val="Heading2"/>
        <w:spacing w:after="120" w:before="280"/>
      </w:pPr>
      <w:r>
        <w:rPr>
          <w:rFonts w:ascii="Arial" w:cs="Arial" w:eastAsia="Arial" w:hAnsi="Arial"/>
          <w:b/>
          <w:bCs/>
          <w:color w:val="1A1A1A"/>
          <w:sz w:val="26"/>
          <w:szCs w:val="26"/>
        </w:rPr>
        <w:t xml:space="preserve">2.14  Term and Termination</w:t>
      </w:r>
    </w:p>
    <w:p>
      <w:pPr>
        <w:spacing w:after="80" w:before="80"/>
      </w:pPr>
      <w:r>
        <w:rPr>
          <w:rFonts w:ascii="Arial" w:cs="Arial" w:eastAsia="Arial" w:hAnsi="Arial"/>
          <w:color w:val="1A1A1A"/>
          <w:sz w:val="22"/>
          <w:szCs w:val="22"/>
        </w:rPr>
        <w:t xml:space="preserve">This Agreement continues while Welfare-Verified status is maintained. Either party may terminate on 20 (twenty) business days' written notice. ANIMEX may terminate immediately for welfare violations, fraud, data protection breaches, or conduct posing risk to Animals or Users. Pending adoptions must be handled in the best interests of the Animals.</w:t>
      </w:r>
    </w:p>
    <w:p>
      <w:pPr>
        <w:pStyle w:val="Heading2"/>
        <w:spacing w:after="120" w:before="280"/>
      </w:pPr>
      <w:r>
        <w:rPr>
          <w:rFonts w:ascii="Arial" w:cs="Arial" w:eastAsia="Arial" w:hAnsi="Arial"/>
          <w:b/>
          <w:bCs/>
          <w:color w:val="1A1A1A"/>
          <w:sz w:val="26"/>
          <w:szCs w:val="26"/>
        </w:rPr>
        <w:t xml:space="preserve">2.15  Governing Law</w:t>
      </w:r>
    </w:p>
    <w:p>
      <w:pPr>
        <w:spacing w:after="80" w:before="80"/>
      </w:pPr>
      <w:r>
        <w:rPr>
          <w:rFonts w:ascii="Arial" w:cs="Arial" w:eastAsia="Arial" w:hAnsi="Arial"/>
          <w:color w:val="1A1A1A"/>
          <w:sz w:val="22"/>
          <w:szCs w:val="22"/>
        </w:rPr>
        <w:t xml:space="preserve">Governed by South African law. Disputes subject to the jurisdiction provisions in the ANIMEX Terms and Conditions.</w:t>
      </w:r>
    </w:p>
    <w:p>
      <w:pPr>
        <w:pStyle w:val="Heading2"/>
        <w:spacing w:after="120" w:before="280"/>
      </w:pPr>
      <w:r>
        <w:rPr>
          <w:rFonts w:ascii="Arial" w:cs="Arial" w:eastAsia="Arial" w:hAnsi="Arial"/>
          <w:b/>
          <w:bCs/>
          <w:color w:val="1A1A1A"/>
          <w:sz w:val="26"/>
          <w:szCs w:val="26"/>
        </w:rPr>
        <w:t xml:space="preserve">2.16  Execution</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For the Welfare Partner (authorised signatory and capacity):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Verified Breeder Agreement</w:t>
      </w:r>
    </w:p>
    <w:p>
      <w:pPr>
        <w:spacing w:after="80" w:before="80"/>
      </w:pPr>
      <w:r>
        <w:rPr>
          <w:rFonts w:ascii="Arial" w:cs="Arial" w:eastAsia="Arial" w:hAnsi="Arial"/>
          <w:color w:val="1A1A1A"/>
          <w:sz w:val="22"/>
          <w:szCs w:val="22"/>
        </w:rPr>
        <w:t>This Verified Breeder Agreement ("Agreement") is between ANIMEX (Pty) Ltd ("ANIMEX") and the breeder identified during verification ("Verified Breeder").</w:t>
      </w:r>
    </w:p>
    <w:p>
      <w:pPr>
        <w:pStyle w:val="Heading2"/>
        <w:spacing w:after="120" w:before="280"/>
      </w:pPr>
      <w:r>
        <w:rPr>
          <w:rFonts w:ascii="Arial" w:cs="Arial" w:eastAsia="Arial" w:hAnsi="Arial"/>
          <w:b/>
          <w:bCs/>
          <w:color w:val="1A1A1A"/>
          <w:sz w:val="26"/>
          <w:szCs w:val="26"/>
        </w:rPr>
        <w:t xml:space="preserve">3.1  Verification Requirements</w:t>
      </w:r>
    </w:p>
    <w:p>
      <w:pPr>
        <w:spacing w:after="80" w:before="80"/>
      </w:pPr>
      <w:r>
        <w:rPr>
          <w:rFonts w:ascii="Arial" w:cs="Arial" w:eastAsia="Arial" w:hAnsi="Arial"/>
          <w:color w:val="1A1A1A"/>
          <w:sz w:val="22"/>
          <w:szCs w:val="22"/>
        </w:rPr>
        <w:t xml:space="preserve">The Breeder must provide:</w:t>
      </w:r>
    </w:p>
    <w:p>
      <w:pPr>
        <w:pStyle w:val="ListParagraph"/>
        <w:numPr>
          <w:ilvl w:val="0"/>
          <w:numId w:val="2"/>
        </w:numPr>
        <w:spacing w:after="40" w:before="40"/>
      </w:pPr>
      <w:r>
        <w:rPr>
          <w:rFonts w:ascii="Arial" w:cs="Arial" w:eastAsia="Arial" w:hAnsi="Arial"/>
          <w:color w:val="1A1A1A"/>
          <w:sz w:val="22"/>
          <w:szCs w:val="22"/>
        </w:rPr>
        <w:t xml:space="preserve">South African identity document or company registration;</w:t>
      </w:r>
    </w:p>
    <w:p>
      <w:pPr>
        <w:pStyle w:val="ListParagraph"/>
        <w:numPr>
          <w:ilvl w:val="0"/>
          <w:numId w:val="2"/>
        </w:numPr>
        <w:spacing w:after="40" w:before="40"/>
      </w:pPr>
      <w:r>
        <w:rPr>
          <w:rFonts w:ascii="Arial" w:cs="Arial" w:eastAsia="Arial" w:hAnsi="Arial"/>
          <w:color w:val="1A1A1A"/>
          <w:sz w:val="22"/>
          <w:szCs w:val="22"/>
        </w:rPr>
        <w:t xml:space="preserve">physical premises address and details;</w:t>
      </w:r>
    </w:p>
    <w:p>
      <w:pPr>
        <w:pStyle w:val="ListParagraph"/>
        <w:numPr>
          <w:ilvl w:val="0"/>
          <w:numId w:val="2"/>
        </w:numPr>
        <w:spacing w:after="40" w:before="40"/>
      </w:pPr>
      <w:r>
        <w:rPr>
          <w:rFonts w:ascii="Arial" w:cs="Arial" w:eastAsia="Arial" w:hAnsi="Arial"/>
          <w:color w:val="1A1A1A"/>
          <w:sz w:val="22"/>
          <w:szCs w:val="22"/>
        </w:rPr>
        <w:t xml:space="preserve">proof of registration with an applicable breed or kennel club (e.g. KUSA for dogs, recognised feline breed societies for cats), where applicable to the species;</w:t>
      </w:r>
    </w:p>
    <w:p>
      <w:pPr>
        <w:pStyle w:val="ListParagraph"/>
        <w:numPr>
          <w:ilvl w:val="0"/>
          <w:numId w:val="2"/>
        </w:numPr>
        <w:spacing w:after="40" w:before="40"/>
      </w:pPr>
      <w:r>
        <w:rPr>
          <w:rFonts w:ascii="Arial" w:cs="Arial" w:eastAsia="Arial" w:hAnsi="Arial"/>
          <w:color w:val="1A1A1A"/>
          <w:sz w:val="22"/>
          <w:szCs w:val="22"/>
        </w:rPr>
        <w:t xml:space="preserve">evidence of compliance with municipal by-laws governing the keeping and breeding of animals;</w:t>
      </w:r>
    </w:p>
    <w:p>
      <w:pPr>
        <w:pStyle w:val="ListParagraph"/>
        <w:numPr>
          <w:ilvl w:val="0"/>
          <w:numId w:val="2"/>
        </w:numPr>
        <w:spacing w:after="40" w:before="40"/>
      </w:pPr>
      <w:r>
        <w:rPr>
          <w:rFonts w:ascii="Arial" w:cs="Arial" w:eastAsia="Arial" w:hAnsi="Arial"/>
          <w:color w:val="1A1A1A"/>
          <w:sz w:val="22"/>
          <w:szCs w:val="22"/>
        </w:rPr>
        <w:t xml:space="preserve">evidence of humane breeding conditions including housing, welfare practices, and veterinary care arrangements;</w:t>
      </w:r>
    </w:p>
    <w:p>
      <w:pPr>
        <w:pStyle w:val="ListParagraph"/>
        <w:numPr>
          <w:ilvl w:val="0"/>
          <w:numId w:val="2"/>
        </w:numPr>
        <w:spacing w:after="40" w:before="40"/>
      </w:pPr>
      <w:r>
        <w:rPr>
          <w:rFonts w:ascii="Arial" w:cs="Arial" w:eastAsia="Arial" w:hAnsi="Arial"/>
          <w:color w:val="1A1A1A"/>
          <w:sz w:val="22"/>
          <w:szCs w:val="22"/>
        </w:rPr>
        <w:t xml:space="preserve">vaccination, microchipping, deworming, and health monitoring records;</w:t>
      </w:r>
    </w:p>
    <w:p>
      <w:pPr>
        <w:pStyle w:val="ListParagraph"/>
        <w:numPr>
          <w:ilvl w:val="0"/>
          <w:numId w:val="2"/>
        </w:numPr>
        <w:spacing w:after="40" w:before="40"/>
      </w:pPr>
      <w:r>
        <w:rPr>
          <w:rFonts w:ascii="Arial" w:cs="Arial" w:eastAsia="Arial" w:hAnsi="Arial"/>
          <w:color w:val="1A1A1A"/>
          <w:sz w:val="22"/>
          <w:szCs w:val="22"/>
        </w:rPr>
        <w:t xml:space="preserve">valid permit documentation where required under NEMBA, TOPS Regulations, or CITES for the species bred.</w:t>
      </w:r>
    </w:p>
    <w:p>
      <w:pPr>
        <w:spacing w:after="80" w:before="80"/>
      </w:pPr>
      <w:r>
        <w:rPr>
          <w:rFonts w:ascii="Arial" w:cs="Arial" w:eastAsia="Arial" w:hAnsi="Arial"/>
          <w:color w:val="1A1A1A"/>
          <w:sz w:val="22"/>
          <w:szCs w:val="22"/>
        </w:rPr>
        <w:t xml:space="preserve">ANIMEX may request updated documentation at any time. Verified Breeder status is granted at ANIMEX's sole discretion and is subject to periodic review. Verified status does not constitute ANIMEX's endorsement of any Animal's health, pedigree, or suitability.</w:t>
      </w:r>
    </w:p>
    <w:p>
      <w:pPr>
        <w:pStyle w:val="Heading2"/>
        <w:spacing w:after="120" w:before="280"/>
      </w:pPr>
      <w:r>
        <w:rPr>
          <w:rFonts w:ascii="Arial" w:cs="Arial" w:eastAsia="Arial" w:hAnsi="Arial"/>
          <w:b/>
          <w:bCs/>
          <w:color w:val="1A1A1A"/>
          <w:sz w:val="26"/>
          <w:szCs w:val="26"/>
        </w:rPr>
        <w:t xml:space="preserve">3.2  Ethical Breeding Obligations</w:t>
      </w:r>
    </w:p>
    <w:p>
      <w:pPr>
        <w:spacing w:after="80" w:before="80"/>
      </w:pPr>
      <w:r>
        <w:rPr>
          <w:rFonts w:ascii="Arial" w:cs="Arial" w:eastAsia="Arial" w:hAnsi="Arial"/>
          <w:color w:val="1A1A1A"/>
          <w:sz w:val="22"/>
          <w:szCs w:val="22"/>
        </w:rPr>
        <w:t xml:space="preserve">The Verified Breeder must:</w:t>
      </w:r>
    </w:p>
    <w:p>
      <w:pPr>
        <w:pStyle w:val="ListParagraph"/>
        <w:numPr>
          <w:ilvl w:val="0"/>
          <w:numId w:val="2"/>
        </w:numPr>
        <w:spacing w:after="40" w:before="40"/>
      </w:pPr>
      <w:r>
        <w:rPr>
          <w:rFonts w:ascii="Arial" w:cs="Arial" w:eastAsia="Arial" w:hAnsi="Arial"/>
          <w:color w:val="1A1A1A"/>
          <w:sz w:val="22"/>
          <w:szCs w:val="22"/>
        </w:rPr>
        <w:t xml:space="preserve">maintain premises providing adequate space, ventilation, cleanliness, nutrition, veterinary access, socialisation, and enrichment;</w:t>
      </w:r>
    </w:p>
    <w:p>
      <w:pPr>
        <w:pStyle w:val="ListParagraph"/>
        <w:numPr>
          <w:ilvl w:val="0"/>
          <w:numId w:val="2"/>
        </w:numPr>
        <w:spacing w:after="40" w:before="40"/>
      </w:pPr>
      <w:r>
        <w:rPr>
          <w:rFonts w:ascii="Arial" w:cs="Arial" w:eastAsia="Arial" w:hAnsi="Arial"/>
          <w:color w:val="1A1A1A"/>
          <w:sz w:val="22"/>
          <w:szCs w:val="22"/>
        </w:rPr>
        <w:t xml:space="preserve">not breed females in excess of frequencies consistent with welfare best practice for the species;</w:t>
      </w:r>
    </w:p>
    <w:p>
      <w:pPr>
        <w:pStyle w:val="ListParagraph"/>
        <w:numPr>
          <w:ilvl w:val="0"/>
          <w:numId w:val="2"/>
        </w:numPr>
        <w:spacing w:after="40" w:before="40"/>
      </w:pPr>
      <w:r>
        <w:rPr>
          <w:rFonts w:ascii="Arial" w:cs="Arial" w:eastAsia="Arial" w:hAnsi="Arial"/>
          <w:color w:val="1A1A1A"/>
          <w:sz w:val="22"/>
          <w:szCs w:val="22"/>
        </w:rPr>
        <w:t xml:space="preserve">ensure all breeding Animals receive regular veterinary health assessments;</w:t>
      </w:r>
    </w:p>
    <w:p>
      <w:pPr>
        <w:pStyle w:val="ListParagraph"/>
        <w:numPr>
          <w:ilvl w:val="0"/>
          <w:numId w:val="2"/>
        </w:numPr>
        <w:spacing w:after="40" w:before="40"/>
      </w:pPr>
      <w:r>
        <w:rPr>
          <w:rFonts w:ascii="Arial" w:cs="Arial" w:eastAsia="Arial" w:hAnsi="Arial"/>
          <w:color w:val="1A1A1A"/>
          <w:sz w:val="22"/>
          <w:szCs w:val="22"/>
        </w:rPr>
        <w:t xml:space="preserve">not operate a puppy mill, kitten mill, or any mass unregulated breeding operation inconsistent with recognised welfare standards;</w:t>
      </w:r>
    </w:p>
    <w:p>
      <w:pPr>
        <w:pStyle w:val="ListParagraph"/>
        <w:numPr>
          <w:ilvl w:val="0"/>
          <w:numId w:val="2"/>
        </w:numPr>
        <w:spacing w:after="40" w:before="40"/>
      </w:pPr>
      <w:r>
        <w:rPr>
          <w:rFonts w:ascii="Arial" w:cs="Arial" w:eastAsia="Arial" w:hAnsi="Arial"/>
          <w:color w:val="1A1A1A"/>
          <w:sz w:val="22"/>
          <w:szCs w:val="22"/>
        </w:rPr>
        <w:t xml:space="preserve">ensure Animals are appropriately socialised and stimulated prior to listing or handover;</w:t>
      </w:r>
    </w:p>
    <w:p>
      <w:pPr>
        <w:pStyle w:val="ListParagraph"/>
        <w:numPr>
          <w:ilvl w:val="0"/>
          <w:numId w:val="2"/>
        </w:numPr>
        <w:spacing w:after="40" w:before="40"/>
      </w:pPr>
      <w:r>
        <w:rPr>
          <w:rFonts w:ascii="Arial" w:cs="Arial" w:eastAsia="Arial" w:hAnsi="Arial"/>
          <w:color w:val="1A1A1A"/>
          <w:sz w:val="22"/>
          <w:szCs w:val="22"/>
        </w:rPr>
        <w:t xml:space="preserve">not list Animals before the minimum transfer age (8 weeks for puppies and kittens; species-appropriate minimum ages for all other Animals);</w:t>
      </w:r>
    </w:p>
    <w:p>
      <w:pPr>
        <w:pStyle w:val="ListParagraph"/>
        <w:numPr>
          <w:ilvl w:val="0"/>
          <w:numId w:val="2"/>
        </w:numPr>
        <w:spacing w:after="40" w:before="40"/>
      </w:pPr>
      <w:r>
        <w:rPr>
          <w:rFonts w:ascii="Arial" w:cs="Arial" w:eastAsia="Arial" w:hAnsi="Arial"/>
          <w:color w:val="1A1A1A"/>
          <w:sz w:val="22"/>
          <w:szCs w:val="22"/>
        </w:rPr>
        <w:t xml:space="preserve">disclose genetic risks, known hereditary conditions, congenital defects, pedigree limitations, and vaccination and deworming status in every Listing.</w:t>
      </w:r>
    </w:p>
    <w:p>
      <w:pPr>
        <w:pStyle w:val="Heading2"/>
        <w:spacing w:after="120" w:before="280"/>
      </w:pPr>
      <w:r>
        <w:rPr>
          <w:rFonts w:ascii="Arial" w:cs="Arial" w:eastAsia="Arial" w:hAnsi="Arial"/>
          <w:b/>
          <w:bCs/>
          <w:color w:val="1A1A1A"/>
          <w:sz w:val="26"/>
          <w:szCs w:val="26"/>
        </w:rPr>
        <w:t xml:space="preserve">3.3  Anti-Puppy Mill and High-Volume Breeding</w:t>
      </w:r>
    </w:p>
    <w:p>
      <w:pPr>
        <w:spacing w:after="80" w:before="80"/>
      </w:pPr>
      <w:r>
        <w:rPr>
          <w:rFonts w:ascii="Arial" w:cs="Arial" w:eastAsia="Arial" w:hAnsi="Arial"/>
          <w:color w:val="1A1A1A"/>
          <w:sz w:val="22"/>
          <w:szCs w:val="22"/>
        </w:rPr>
        <w:t xml:space="preserve">ANIMEX may immediately suspend the Verified Breeder where there are reasonable grounds to suspect operation of a puppy mill, kitten mill, or mass unregulated breeding facility. Reasonable grounds include: the number of litters per year per species inconsistent with ethical breeding norms; evidence of overcrowding or inadequate care in images or reports; multiple simultaneous listings for the same species or dam; or substantiated third-party welfare complaints.</w:t>
      </w:r>
    </w:p>
    <w:p>
      <w:pPr>
        <w:pStyle w:val="Heading2"/>
        <w:spacing w:after="120" w:before="280"/>
      </w:pPr>
      <w:r>
        <w:rPr>
          <w:rFonts w:ascii="Arial" w:cs="Arial" w:eastAsia="Arial" w:hAnsi="Arial"/>
          <w:b/>
          <w:bCs/>
          <w:color w:val="1A1A1A"/>
          <w:sz w:val="26"/>
          <w:szCs w:val="26"/>
        </w:rPr>
        <w:t xml:space="preserve">3.4  Permit and Species Compliance</w:t>
      </w:r>
    </w:p>
    <w:p>
      <w:pPr>
        <w:spacing w:after="80" w:before="80"/>
      </w:pPr>
      <w:r>
        <w:rPr>
          <w:rFonts w:ascii="Arial" w:cs="Arial" w:eastAsia="Arial" w:hAnsi="Arial"/>
          <w:color w:val="1A1A1A"/>
          <w:sz w:val="22"/>
          <w:szCs w:val="22"/>
        </w:rPr>
        <w:t xml:space="preserve">For regulated, exotic, or TOPS-listed species, the Breeder must hold and upload valid permits, CITES documentation, or licences before any related Listing goes live. Verified Breeder status may be suspended if any required permit is expired, inconsistent, or not renewed timeously.</w:t>
      </w:r>
    </w:p>
    <w:p>
      <w:pPr>
        <w:pStyle w:val="Heading2"/>
        <w:spacing w:after="120" w:before="280"/>
      </w:pPr>
      <w:r>
        <w:rPr>
          <w:rFonts w:ascii="Arial" w:cs="Arial" w:eastAsia="Arial" w:hAnsi="Arial"/>
          <w:b/>
          <w:bCs/>
          <w:color w:val="1A1A1A"/>
          <w:sz w:val="26"/>
          <w:szCs w:val="26"/>
        </w:rPr>
        <w:t xml:space="preserve">3.5  Audit Rights</w:t>
      </w:r>
    </w:p>
    <w:p>
      <w:pPr>
        <w:spacing w:after="80" w:before="80"/>
      </w:pPr>
      <w:r>
        <w:rPr>
          <w:rFonts w:ascii="Arial" w:cs="Arial" w:eastAsia="Arial" w:hAnsi="Arial"/>
          <w:color w:val="1A1A1A"/>
          <w:sz w:val="22"/>
          <w:szCs w:val="22"/>
        </w:rPr>
        <w:t xml:space="preserve">ANIMEX reserves the right to conduct welfare audits at any time, including:</w:t>
      </w:r>
    </w:p>
    <w:p>
      <w:pPr>
        <w:pStyle w:val="ListParagraph"/>
        <w:numPr>
          <w:ilvl w:val="0"/>
          <w:numId w:val="2"/>
        </w:numPr>
        <w:spacing w:after="40" w:before="40"/>
      </w:pPr>
      <w:r>
        <w:rPr>
          <w:rFonts w:ascii="Arial" w:cs="Arial" w:eastAsia="Arial" w:hAnsi="Arial"/>
          <w:color w:val="1A1A1A"/>
          <w:sz w:val="22"/>
          <w:szCs w:val="22"/>
        </w:rPr>
        <w:t xml:space="preserve">document verification requests (records, permits, vaccination cards, microchip certificates);</w:t>
      </w:r>
    </w:p>
    <w:p>
      <w:pPr>
        <w:pStyle w:val="ListParagraph"/>
        <w:numPr>
          <w:ilvl w:val="0"/>
          <w:numId w:val="2"/>
        </w:numPr>
        <w:spacing w:after="40" w:before="40"/>
      </w:pPr>
      <w:r>
        <w:rPr>
          <w:rFonts w:ascii="Arial" w:cs="Arial" w:eastAsia="Arial" w:hAnsi="Arial"/>
          <w:color w:val="1A1A1A"/>
          <w:sz w:val="22"/>
          <w:szCs w:val="22"/>
        </w:rPr>
        <w:t xml:space="preserve">video or photographic evidence requests;</w:t>
      </w:r>
    </w:p>
    <w:p>
      <w:pPr>
        <w:pStyle w:val="ListParagraph"/>
        <w:numPr>
          <w:ilvl w:val="0"/>
          <w:numId w:val="2"/>
        </w:numPr>
        <w:spacing w:after="40" w:before="40"/>
      </w:pPr>
      <w:r>
        <w:rPr>
          <w:rFonts w:ascii="Arial" w:cs="Arial" w:eastAsia="Arial" w:hAnsi="Arial"/>
          <w:color w:val="1A1A1A"/>
          <w:sz w:val="22"/>
          <w:szCs w:val="22"/>
        </w:rPr>
        <w:t xml:space="preserve">third-party welfare verification by an approved welfare organisation, SPCA branch, or independent veterinarian;</w:t>
      </w:r>
    </w:p>
    <w:p>
      <w:pPr>
        <w:pStyle w:val="ListParagraph"/>
        <w:numPr>
          <w:ilvl w:val="0"/>
          <w:numId w:val="2"/>
        </w:numPr>
        <w:spacing w:after="40" w:before="40"/>
      </w:pPr>
      <w:r>
        <w:rPr>
          <w:rFonts w:ascii="Arial" w:cs="Arial" w:eastAsia="Arial" w:hAnsi="Arial"/>
          <w:color w:val="1A1A1A"/>
          <w:sz w:val="22"/>
          <w:szCs w:val="22"/>
        </w:rPr>
        <w:t xml:space="preserve">physical inspection through an appropriate third party where lawful.</w:t>
      </w:r>
    </w:p>
    <w:p>
      <w:pPr>
        <w:spacing w:after="80" w:before="80"/>
      </w:pPr>
      <w:r>
        <w:rPr>
          <w:rFonts w:ascii="Arial" w:cs="Arial" w:eastAsia="Arial" w:hAnsi="Arial"/>
          <w:color w:val="1A1A1A"/>
          <w:sz w:val="22"/>
          <w:szCs w:val="22"/>
        </w:rPr>
        <w:t xml:space="preserve">The Verified Breeder must cooperate fully with any audit within 5 (five) business days of the request. Refusal to cooperate without reasonable cause constitutes a material breach and may result in immediate suspension of Verified status.</w:t>
      </w:r>
    </w:p>
    <w:p>
      <w:pPr>
        <w:pStyle w:val="Heading2"/>
        <w:spacing w:after="120" w:before="280"/>
      </w:pPr>
      <w:r>
        <w:rPr>
          <w:rFonts w:ascii="Arial" w:cs="Arial" w:eastAsia="Arial" w:hAnsi="Arial"/>
          <w:b/>
          <w:bCs/>
          <w:color w:val="1A1A1A"/>
          <w:sz w:val="26"/>
          <w:szCs w:val="26"/>
        </w:rPr>
        <w:t xml:space="preserve">3.6  Buyer Support and Dispute Cooperation</w:t>
      </w:r>
    </w:p>
    <w:p>
      <w:pPr>
        <w:spacing w:after="80" w:before="80"/>
      </w:pPr>
      <w:r>
        <w:rPr>
          <w:rFonts w:ascii="Arial" w:cs="Arial" w:eastAsia="Arial" w:hAnsi="Arial"/>
          <w:color w:val="1A1A1A"/>
          <w:sz w:val="22"/>
          <w:szCs w:val="22"/>
        </w:rPr>
        <w:t xml:space="preserve">The Verified Breeder must respond to Buyer concerns within 48 (forty-eight) hours, participate constructively in Disputes, and cooperate with veterinary evidence requirements. Where a material undisclosed condition is proven post-handover, the Breeder may be required by ANIMEX to contribute to remediation, including partial or full refund, veterinary cost contribution, or other Platform-directed remedy.</w:t>
      </w:r>
    </w:p>
    <w:p>
      <w:pPr>
        <w:pStyle w:val="Heading2"/>
        <w:spacing w:after="120" w:before="280"/>
      </w:pPr>
      <w:r>
        <w:rPr>
          <w:rFonts w:ascii="Arial" w:cs="Arial" w:eastAsia="Arial" w:hAnsi="Arial"/>
          <w:b/>
          <w:bCs/>
          <w:color w:val="1A1A1A"/>
          <w:sz w:val="26"/>
          <w:szCs w:val="26"/>
        </w:rPr>
        <w:t xml:space="preserve">3.7  Records and Retention</w:t>
      </w:r>
    </w:p>
    <w:p>
      <w:pPr>
        <w:spacing w:after="80" w:before="80"/>
      </w:pPr>
      <w:r>
        <w:rPr>
          <w:rFonts w:ascii="Arial" w:cs="Arial" w:eastAsia="Arial" w:hAnsi="Arial"/>
          <w:color w:val="1A1A1A"/>
          <w:sz w:val="22"/>
          <w:szCs w:val="22"/>
        </w:rPr>
        <w:t xml:space="preserve">The Verified Breeder must maintain breeding records, litter records, veterinary records, vaccination records, permit records, and sales records for at least 5 (five) years from the date of each transaction, or for the period required by applicable law where longer. Records must be made available to ANIMEX on reasonable request.</w:t>
      </w:r>
    </w:p>
    <w:p>
      <w:pPr>
        <w:pStyle w:val="Heading2"/>
        <w:spacing w:after="120" w:before="280"/>
      </w:pPr>
      <w:r>
        <w:rPr>
          <w:rFonts w:ascii="Arial" w:cs="Arial" w:eastAsia="Arial" w:hAnsi="Arial"/>
          <w:b/>
          <w:bCs/>
          <w:color w:val="1A1A1A"/>
          <w:sz w:val="26"/>
          <w:szCs w:val="26"/>
        </w:rPr>
        <w:t xml:space="preserve">3.8  Branding and Badges</w:t>
      </w:r>
    </w:p>
    <w:p>
      <w:pPr>
        <w:spacing w:after="80" w:before="80"/>
      </w:pPr>
      <w:r>
        <w:rPr>
          <w:rFonts w:ascii="Arial" w:cs="Arial" w:eastAsia="Arial" w:hAnsi="Arial"/>
          <w:color w:val="1A1A1A"/>
          <w:sz w:val="22"/>
          <w:szCs w:val="22"/>
        </w:rPr>
        <w:t xml:space="preserve">The Verified Breeder badge remains ANIMEX's intellectual property and may be removed at any time. The Breeder may display the badge only on the ANIMEX Platform and in approved ANIMEX-sanctioned contexts. Misuse of the badge on external platforms, social media, or advertising without written consent may result in immediate suspension and legal action.</w:t>
      </w:r>
    </w:p>
    <w:p>
      <w:pPr>
        <w:pStyle w:val="Heading2"/>
        <w:spacing w:after="120" w:before="280"/>
      </w:pPr>
      <w:r>
        <w:rPr>
          <w:rFonts w:ascii="Arial" w:cs="Arial" w:eastAsia="Arial" w:hAnsi="Arial"/>
          <w:b/>
          <w:bCs/>
          <w:color w:val="1A1A1A"/>
          <w:sz w:val="26"/>
          <w:szCs w:val="26"/>
        </w:rPr>
        <w:t xml:space="preserve">3.9  Anti-Bribery and Anti-Money Laundering</w:t>
      </w:r>
    </w:p>
    <w:p>
      <w:pPr>
        <w:spacing w:after="80" w:before="80"/>
      </w:pPr>
      <w:r>
        <w:rPr>
          <w:rFonts w:ascii="Arial" w:cs="Arial" w:eastAsia="Arial" w:hAnsi="Arial"/>
          <w:color w:val="1A1A1A"/>
          <w:sz w:val="22"/>
          <w:szCs w:val="22"/>
        </w:rPr>
        <w:t xml:space="preserve">The Verified Breeder must not offer, pay, or accept improper payments in connection with Platform outcomes, and must not use the Platform to launder proceeds from unlawful animal trade. Refer to clauses 1.14 and 1.15 of the Seller Agreement for full terms.</w:t>
      </w:r>
    </w:p>
    <w:p>
      <w:pPr>
        <w:pStyle w:val="Heading2"/>
        <w:spacing w:after="120" w:before="280"/>
      </w:pPr>
      <w:r>
        <w:rPr>
          <w:rFonts w:ascii="Arial" w:cs="Arial" w:eastAsia="Arial" w:hAnsi="Arial"/>
          <w:b/>
          <w:bCs/>
          <w:color w:val="1A1A1A"/>
          <w:sz w:val="26"/>
          <w:szCs w:val="26"/>
        </w:rPr>
        <w:t xml:space="preserve">3.10  Indemnity</w:t>
      </w:r>
    </w:p>
    <w:p>
      <w:pPr>
        <w:spacing w:after="80" w:before="80"/>
      </w:pPr>
      <w:r>
        <w:rPr>
          <w:rFonts w:ascii="Arial" w:cs="Arial" w:eastAsia="Arial" w:hAnsi="Arial"/>
          <w:color w:val="1A1A1A"/>
          <w:sz w:val="22"/>
          <w:szCs w:val="22"/>
        </w:rPr>
        <w:t xml:space="preserve">The Verified Breeder indemnifies ANIMEX against claims arising from breeding operations, Listings, undisclosed health defects, welfare violations, permit breaches, misrepresentation, or unlawful Animal trade.</w:t>
      </w:r>
    </w:p>
    <w:p>
      <w:pPr>
        <w:pStyle w:val="Heading2"/>
        <w:spacing w:after="120" w:before="280"/>
      </w:pPr>
      <w:r>
        <w:rPr>
          <w:rFonts w:ascii="Arial" w:cs="Arial" w:eastAsia="Arial" w:hAnsi="Arial"/>
          <w:b/>
          <w:bCs/>
          <w:color w:val="1A1A1A"/>
          <w:sz w:val="26"/>
          <w:szCs w:val="26"/>
        </w:rPr>
        <w:t xml:space="preserve">3.11  Term and Termination</w:t>
      </w:r>
    </w:p>
    <w:p>
      <w:pPr>
        <w:spacing w:after="80" w:before="80"/>
      </w:pPr>
      <w:r>
        <w:rPr>
          <w:rFonts w:ascii="Arial" w:cs="Arial" w:eastAsia="Arial" w:hAnsi="Arial"/>
          <w:color w:val="1A1A1A"/>
          <w:sz w:val="22"/>
          <w:szCs w:val="22"/>
        </w:rPr>
        <w:t xml:space="preserve">Continues while Verified Breeder status is maintained. Either party may terminate on 20 (twenty) business days' notice. ANIMEX may terminate immediately for welfare violations, failed audits, fraudulent documentation, or repeated substantiated complaints.</w:t>
      </w:r>
    </w:p>
    <w:p>
      <w:pPr>
        <w:pStyle w:val="Heading2"/>
        <w:spacing w:after="120" w:before="280"/>
      </w:pPr>
      <w:r>
        <w:rPr>
          <w:rFonts w:ascii="Arial" w:cs="Arial" w:eastAsia="Arial" w:hAnsi="Arial"/>
          <w:b/>
          <w:bCs/>
          <w:color w:val="1A1A1A"/>
          <w:sz w:val="26"/>
          <w:szCs w:val="26"/>
        </w:rPr>
        <w:t xml:space="preserve">3.12  Governing Law</w:t>
      </w:r>
    </w:p>
    <w:p>
      <w:pPr>
        <w:spacing w:after="80" w:before="80"/>
      </w:pPr>
      <w:r>
        <w:rPr>
          <w:rFonts w:ascii="Arial" w:cs="Arial" w:eastAsia="Arial" w:hAnsi="Arial"/>
          <w:color w:val="1A1A1A"/>
          <w:sz w:val="22"/>
          <w:szCs w:val="22"/>
        </w:rPr>
        <w:t xml:space="preserve">Governed by South African law.</w:t>
      </w:r>
    </w:p>
    <w:p>
      <w:pPr>
        <w:pStyle w:val="Heading2"/>
        <w:spacing w:after="120" w:before="280"/>
      </w:pPr>
      <w:r>
        <w:rPr>
          <w:rFonts w:ascii="Arial" w:cs="Arial" w:eastAsia="Arial" w:hAnsi="Arial"/>
          <w:b/>
          <w:bCs/>
          <w:color w:val="1A1A1A"/>
          <w:sz w:val="26"/>
          <w:szCs w:val="26"/>
        </w:rPr>
        <w:t xml:space="preserve">3.13  Execution</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Verified Breeder:</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Veterinarian Partner Agreement</w:t>
      </w:r>
    </w:p>
    <w:p>
      <w:pPr>
        <w:spacing w:after="80" w:before="80"/>
      </w:pPr>
      <w:r>
        <w:rPr>
          <w:rFonts w:ascii="Arial" w:cs="Arial" w:eastAsia="Arial" w:hAnsi="Arial"/>
          <w:color w:val="1A1A1A"/>
          <w:sz w:val="22"/>
          <w:szCs w:val="22"/>
        </w:rPr>
        <w:t>This Veterinarian Partner Agreement ("Agreement") is between ANIMEX (Pty) Ltd ("ANIMEX") and the veterinary practitioner or veterinary practice identified during registration ("Vet Partner").</w:t>
      </w:r>
    </w:p>
    <w:p>
      <w:pPr>
        <w:pStyle w:val="Heading2"/>
        <w:spacing w:after="120" w:before="280"/>
      </w:pPr>
      <w:r>
        <w:rPr>
          <w:rFonts w:ascii="Arial" w:cs="Arial" w:eastAsia="Arial" w:hAnsi="Arial"/>
          <w:b/>
          <w:bCs/>
          <w:color w:val="1A1A1A"/>
          <w:sz w:val="26"/>
          <w:szCs w:val="26"/>
        </w:rPr>
        <w:t xml:space="preserve">4.1  Eligibility and Professional Status</w:t>
      </w:r>
    </w:p>
    <w:p>
      <w:pPr>
        <w:spacing w:after="80" w:before="80"/>
      </w:pPr>
      <w:r>
        <w:rPr>
          <w:rFonts w:ascii="Arial" w:cs="Arial" w:eastAsia="Arial" w:hAnsi="Arial"/>
          <w:color w:val="1A1A1A"/>
          <w:sz w:val="22"/>
          <w:szCs w:val="22"/>
        </w:rPr>
        <w:t xml:space="preserve">The Vet Partner warrants that they:</w:t>
      </w:r>
    </w:p>
    <w:p>
      <w:pPr>
        <w:pStyle w:val="ListParagraph"/>
        <w:numPr>
          <w:ilvl w:val="0"/>
          <w:numId w:val="2"/>
        </w:numPr>
        <w:spacing w:after="40" w:before="40"/>
      </w:pPr>
      <w:r>
        <w:rPr>
          <w:rFonts w:ascii="Arial" w:cs="Arial" w:eastAsia="Arial" w:hAnsi="Arial"/>
          <w:color w:val="1A1A1A"/>
          <w:sz w:val="22"/>
          <w:szCs w:val="22"/>
        </w:rPr>
        <w:t xml:space="preserve">are duly registered under the Veterinary and Para-Veterinary Professions Act 19 of 1982 and hold a valid, current South African Veterinary Council (SAVC) registration in good standing;</w:t>
      </w:r>
    </w:p>
    <w:p>
      <w:pPr>
        <w:pStyle w:val="ListParagraph"/>
        <w:numPr>
          <w:ilvl w:val="0"/>
          <w:numId w:val="2"/>
        </w:numPr>
        <w:spacing w:after="40" w:before="40"/>
      </w:pPr>
      <w:r>
        <w:rPr>
          <w:rFonts w:ascii="Arial" w:cs="Arial" w:eastAsia="Arial" w:hAnsi="Arial"/>
          <w:color w:val="1A1A1A"/>
          <w:sz w:val="22"/>
          <w:szCs w:val="22"/>
        </w:rPr>
        <w:t xml:space="preserve">are not subject to any disciplinary proceedings, suspension, conditions, or limitations affecting their ability to practise;</w:t>
      </w:r>
    </w:p>
    <w:p>
      <w:pPr>
        <w:pStyle w:val="ListParagraph"/>
        <w:numPr>
          <w:ilvl w:val="0"/>
          <w:numId w:val="2"/>
        </w:numPr>
        <w:spacing w:after="40" w:before="40"/>
      </w:pPr>
      <w:r>
        <w:rPr>
          <w:rFonts w:ascii="Arial" w:cs="Arial" w:eastAsia="Arial" w:hAnsi="Arial"/>
          <w:color w:val="1A1A1A"/>
          <w:sz w:val="22"/>
          <w:szCs w:val="22"/>
        </w:rPr>
        <w:t xml:space="preserve">hold appropriate professional indemnity insurance and will maintain it for the duration of this Agreement;</w:t>
      </w:r>
    </w:p>
    <w:p>
      <w:pPr>
        <w:pStyle w:val="ListParagraph"/>
        <w:numPr>
          <w:ilvl w:val="0"/>
          <w:numId w:val="2"/>
        </w:numPr>
        <w:spacing w:after="40" w:before="40"/>
      </w:pPr>
      <w:r>
        <w:rPr>
          <w:rFonts w:ascii="Arial" w:cs="Arial" w:eastAsia="Arial" w:hAnsi="Arial"/>
          <w:color w:val="1A1A1A"/>
          <w:sz w:val="22"/>
          <w:szCs w:val="22"/>
        </w:rPr>
        <w:t xml:space="preserve">will notify ANIMEX immediately if their SAVC registration is suspended, conditioned, or cancelled.</w:t>
      </w:r>
    </w:p>
    <w:p>
      <w:pPr>
        <w:spacing w:after="80" w:before="80"/>
      </w:pPr>
      <w:r>
        <w:rPr>
          <w:rFonts w:ascii="Arial" w:cs="Arial" w:eastAsia="Arial" w:hAnsi="Arial"/>
          <w:color w:val="1A1A1A"/>
          <w:sz w:val="22"/>
          <w:szCs w:val="22"/>
        </w:rPr>
        <w:t xml:space="preserve">The Vet Partner must provide their SAVC registration number, practice details, and proof of professional indemnity insurance on request.</w:t>
      </w:r>
    </w:p>
    <w:p>
      <w:pPr>
        <w:pStyle w:val="Heading2"/>
        <w:spacing w:after="120" w:before="280"/>
      </w:pPr>
      <w:r>
        <w:rPr>
          <w:rFonts w:ascii="Arial" w:cs="Arial" w:eastAsia="Arial" w:hAnsi="Arial"/>
          <w:b/>
          <w:bCs/>
          <w:color w:val="1A1A1A"/>
          <w:sz w:val="26"/>
          <w:szCs w:val="26"/>
        </w:rPr>
        <w:t xml:space="preserve">4.2  Scope of Services</w:t>
      </w:r>
    </w:p>
    <w:p>
      <w:pPr>
        <w:spacing w:after="80" w:before="80"/>
      </w:pPr>
      <w:r>
        <w:rPr>
          <w:rFonts w:ascii="Arial" w:cs="Arial" w:eastAsia="Arial" w:hAnsi="Arial"/>
          <w:color w:val="1A1A1A"/>
          <w:sz w:val="22"/>
          <w:szCs w:val="22"/>
        </w:rPr>
        <w:t xml:space="preserve">The Vet Partner may participate on the Platform in the following capacities:</w:t>
      </w:r>
    </w:p>
    <w:p>
      <w:pPr>
        <w:pStyle w:val="ListParagraph"/>
        <w:numPr>
          <w:ilvl w:val="0"/>
          <w:numId w:val="2"/>
        </w:numPr>
        <w:spacing w:after="40" w:before="40"/>
      </w:pPr>
      <w:r>
        <w:rPr>
          <w:rFonts w:ascii="Arial" w:cs="Arial" w:eastAsia="Arial" w:hAnsi="Arial"/>
          <w:color w:val="1A1A1A"/>
          <w:sz w:val="22"/>
          <w:szCs w:val="22"/>
        </w:rPr>
        <w:t xml:space="preserve">issuing and uploading health certificates, vaccination records, or welfare confirmation for Animals listed on the Platform;</w:t>
      </w:r>
    </w:p>
    <w:p>
      <w:pPr>
        <w:pStyle w:val="ListParagraph"/>
        <w:numPr>
          <w:ilvl w:val="0"/>
          <w:numId w:val="2"/>
        </w:numPr>
        <w:spacing w:after="40" w:before="40"/>
      </w:pPr>
      <w:r>
        <w:rPr>
          <w:rFonts w:ascii="Arial" w:cs="Arial" w:eastAsia="Arial" w:hAnsi="Arial"/>
          <w:color w:val="1A1A1A"/>
          <w:sz w:val="22"/>
          <w:szCs w:val="22"/>
        </w:rPr>
        <w:t xml:space="preserve">providing independent veterinary reports for Dispute resolution or welfare investigations;</w:t>
      </w:r>
    </w:p>
    <w:p>
      <w:pPr>
        <w:pStyle w:val="ListParagraph"/>
        <w:numPr>
          <w:ilvl w:val="0"/>
          <w:numId w:val="2"/>
        </w:numPr>
        <w:spacing w:after="40" w:before="40"/>
      </w:pPr>
      <w:r>
        <w:rPr>
          <w:rFonts w:ascii="Arial" w:cs="Arial" w:eastAsia="Arial" w:hAnsi="Arial"/>
          <w:color w:val="1A1A1A"/>
          <w:sz w:val="22"/>
          <w:szCs w:val="22"/>
        </w:rPr>
        <w:t xml:space="preserve">posting adoption Listings on behalf of approved welfare organisations where acting in an official welfare capacity;</w:t>
      </w:r>
    </w:p>
    <w:p>
      <w:pPr>
        <w:pStyle w:val="ListParagraph"/>
        <w:numPr>
          <w:ilvl w:val="0"/>
          <w:numId w:val="2"/>
        </w:numPr>
        <w:spacing w:after="40" w:before="40"/>
      </w:pPr>
      <w:r>
        <w:rPr>
          <w:rFonts w:ascii="Arial" w:cs="Arial" w:eastAsia="Arial" w:hAnsi="Arial"/>
          <w:color w:val="1A1A1A"/>
          <w:sz w:val="22"/>
          <w:szCs w:val="22"/>
        </w:rPr>
        <w:t xml:space="preserve">providing post-adoption health assessments where directed by ANIMEX or an adopting organisation;</w:t>
      </w:r>
    </w:p>
    <w:p>
      <w:pPr>
        <w:pStyle w:val="ListParagraph"/>
        <w:numPr>
          <w:ilvl w:val="0"/>
          <w:numId w:val="2"/>
        </w:numPr>
        <w:spacing w:after="40" w:before="40"/>
      </w:pPr>
      <w:r>
        <w:rPr>
          <w:rFonts w:ascii="Arial" w:cs="Arial" w:eastAsia="Arial" w:hAnsi="Arial"/>
          <w:color w:val="1A1A1A"/>
          <w:sz w:val="22"/>
          <w:szCs w:val="22"/>
        </w:rPr>
        <w:t xml:space="preserve">any other services agreed in writing or through the Platform.</w:t>
      </w:r>
    </w:p>
    <w:p>
      <w:pPr>
        <w:pStyle w:val="Heading2"/>
        <w:spacing w:after="120" w:before="280"/>
      </w:pPr>
      <w:r>
        <w:rPr>
          <w:rFonts w:ascii="Arial" w:cs="Arial" w:eastAsia="Arial" w:hAnsi="Arial"/>
          <w:b/>
          <w:bCs/>
          <w:color w:val="1A1A1A"/>
          <w:sz w:val="26"/>
          <w:szCs w:val="26"/>
        </w:rPr>
        <w:t xml:space="preserve">4.3  Professional Independence</w:t>
      </w:r>
    </w:p>
    <w:p>
      <w:pPr>
        <w:spacing w:after="80" w:before="80"/>
      </w:pPr>
      <w:r>
        <w:rPr>
          <w:rFonts w:ascii="Arial" w:cs="Arial" w:eastAsia="Arial" w:hAnsi="Arial"/>
          <w:color w:val="1A1A1A"/>
          <w:sz w:val="22"/>
          <w:szCs w:val="22"/>
        </w:rPr>
        <w:t xml:space="preserve">All veterinary opinions, certificates, and reports submitted through the Platform are provided independently by the Vet Partner based on professional judgment and actual physical examination of the Animal. ANIMEX does not direct, verify, alter, or assume liability for the Vet Partner's professional opinions. Nothing in this Agreement creates an employment relationship, partnership, or joint venture.</w:t>
      </w:r>
    </w:p>
    <w:p>
      <w:pPr>
        <w:pStyle w:val="Heading2"/>
        <w:spacing w:after="120" w:before="280"/>
      </w:pPr>
      <w:r>
        <w:rPr>
          <w:rFonts w:ascii="Arial" w:cs="Arial" w:eastAsia="Arial" w:hAnsi="Arial"/>
          <w:b/>
          <w:bCs/>
          <w:color w:val="1A1A1A"/>
          <w:sz w:val="26"/>
          <w:szCs w:val="26"/>
        </w:rPr>
        <w:t xml:space="preserve">4.4  Conflict of Interest Disclosure</w:t>
      </w:r>
    </w:p>
    <w:p>
      <w:pPr>
        <w:spacing w:after="80" w:before="80"/>
      </w:pPr>
      <w:r>
        <w:rPr>
          <w:rFonts w:ascii="Arial" w:cs="Arial" w:eastAsia="Arial" w:hAnsi="Arial"/>
          <w:color w:val="1A1A1A"/>
          <w:sz w:val="22"/>
          <w:szCs w:val="22"/>
        </w:rPr>
        <w:t>The Vet Partner must disclose to ANIMEX any financial relationship, family relationship, business arrangement, or other circumstance that may compromise their independence in relation to any specific Animal, Listing, Seller, Buyer, Welfare Partner, or Dispute report. Disclosure must be made in writing to info@animexofficial.co.za before the Vet Partner provides any service affected by the conflict. ANIMEX may direct that the Vet Partner not act in a specific matter where a conflict exists.</w:t>
      </w:r>
    </w:p>
    <w:p>
      <w:pPr>
        <w:pStyle w:val="Heading2"/>
        <w:spacing w:after="120" w:before="280"/>
      </w:pPr>
      <w:r>
        <w:rPr>
          <w:rFonts w:ascii="Arial" w:cs="Arial" w:eastAsia="Arial" w:hAnsi="Arial"/>
          <w:b/>
          <w:bCs/>
          <w:color w:val="1A1A1A"/>
          <w:sz w:val="26"/>
          <w:szCs w:val="26"/>
        </w:rPr>
        <w:t xml:space="preserve">4.5  Documentation Standards</w:t>
      </w:r>
    </w:p>
    <w:p>
      <w:pPr>
        <w:spacing w:after="80" w:before="80"/>
      </w:pPr>
      <w:r>
        <w:rPr>
          <w:rFonts w:ascii="Arial" w:cs="Arial" w:eastAsia="Arial" w:hAnsi="Arial"/>
          <w:color w:val="1A1A1A"/>
          <w:sz w:val="22"/>
          <w:szCs w:val="22"/>
        </w:rPr>
        <w:t xml:space="preserve">The Vet Partner must:</w:t>
      </w:r>
    </w:p>
    <w:p>
      <w:pPr>
        <w:pStyle w:val="ListParagraph"/>
        <w:numPr>
          <w:ilvl w:val="0"/>
          <w:numId w:val="2"/>
        </w:numPr>
        <w:spacing w:after="40" w:before="40"/>
      </w:pPr>
      <w:r>
        <w:rPr>
          <w:rFonts w:ascii="Arial" w:cs="Arial" w:eastAsia="Arial" w:hAnsi="Arial"/>
          <w:color w:val="1A1A1A"/>
          <w:sz w:val="22"/>
          <w:szCs w:val="22"/>
        </w:rPr>
        <w:t xml:space="preserve">issue health certificates, welfare reports, and veterinary opinions only for Animals that have been physically examined by the Vet Partner or a qualified member of their practice;</w:t>
      </w:r>
    </w:p>
    <w:p>
      <w:pPr>
        <w:pStyle w:val="ListParagraph"/>
        <w:numPr>
          <w:ilvl w:val="0"/>
          <w:numId w:val="2"/>
        </w:numPr>
        <w:spacing w:after="40" w:before="40"/>
      </w:pPr>
      <w:r>
        <w:rPr>
          <w:rFonts w:ascii="Arial" w:cs="Arial" w:eastAsia="Arial" w:hAnsi="Arial"/>
          <w:color w:val="1A1A1A"/>
          <w:sz w:val="22"/>
          <w:szCs w:val="22"/>
        </w:rPr>
        <w:t xml:space="preserve">not backdate, falsify, omit material findings, or issue misleading documentation;</w:t>
      </w:r>
    </w:p>
    <w:p>
      <w:pPr>
        <w:pStyle w:val="ListParagraph"/>
        <w:numPr>
          <w:ilvl w:val="0"/>
          <w:numId w:val="2"/>
        </w:numPr>
        <w:spacing w:after="40" w:before="40"/>
      </w:pPr>
      <w:r>
        <w:rPr>
          <w:rFonts w:ascii="Arial" w:cs="Arial" w:eastAsia="Arial" w:hAnsi="Arial"/>
          <w:color w:val="1A1A1A"/>
          <w:sz w:val="22"/>
          <w:szCs w:val="22"/>
        </w:rPr>
        <w:t xml:space="preserve">retain clinical records in accordance with SAVC professional rules and applicable law;</w:t>
      </w:r>
    </w:p>
    <w:p>
      <w:pPr>
        <w:pStyle w:val="ListParagraph"/>
        <w:numPr>
          <w:ilvl w:val="0"/>
          <w:numId w:val="2"/>
        </w:numPr>
        <w:spacing w:after="40" w:before="40"/>
      </w:pPr>
      <w:r>
        <w:rPr>
          <w:rFonts w:ascii="Arial" w:cs="Arial" w:eastAsia="Arial" w:hAnsi="Arial"/>
          <w:color w:val="1A1A1A"/>
          <w:sz w:val="22"/>
          <w:szCs w:val="22"/>
        </w:rPr>
        <w:t xml:space="preserve">not issue documentation for any Animal where the Vet Partner has a conflict of interest as described above.</w:t>
      </w:r>
    </w:p>
    <w:p>
      <w:pPr>
        <w:pStyle w:val="Heading2"/>
        <w:spacing w:after="120" w:before="280"/>
      </w:pPr>
      <w:r>
        <w:rPr>
          <w:rFonts w:ascii="Arial" w:cs="Arial" w:eastAsia="Arial" w:hAnsi="Arial"/>
          <w:b/>
          <w:bCs/>
          <w:color w:val="1A1A1A"/>
          <w:sz w:val="26"/>
          <w:szCs w:val="26"/>
        </w:rPr>
        <w:t xml:space="preserve">4.6  Data Protection and Confidentiality</w:t>
      </w:r>
    </w:p>
    <w:p>
      <w:pPr>
        <w:spacing w:after="80" w:before="80"/>
      </w:pPr>
      <w:r>
        <w:rPr>
          <w:rFonts w:ascii="Arial" w:cs="Arial" w:eastAsia="Arial" w:hAnsi="Arial"/>
          <w:color w:val="1A1A1A"/>
          <w:sz w:val="22"/>
          <w:szCs w:val="22"/>
        </w:rPr>
        <w:t xml:space="preserve">The Vet Partner must process all personal information and User data only for the agreed service purpose and must protect it against unauthorised access in compliance with POPIA. Clinical and platform data must not be shared with third parties without ANIMEX's prior written consent, except where required by law or the Vet Partner's professional obligations.</w:t>
      </w:r>
    </w:p>
    <w:p>
      <w:pPr>
        <w:pStyle w:val="Heading2"/>
        <w:spacing w:after="120" w:before="280"/>
      </w:pPr>
      <w:r>
        <w:rPr>
          <w:rFonts w:ascii="Arial" w:cs="Arial" w:eastAsia="Arial" w:hAnsi="Arial"/>
          <w:b/>
          <w:bCs/>
          <w:color w:val="1A1A1A"/>
          <w:sz w:val="26"/>
          <w:szCs w:val="26"/>
        </w:rPr>
        <w:t xml:space="preserve">4.7  Prohibited Conduct</w:t>
      </w:r>
    </w:p>
    <w:p>
      <w:pPr>
        <w:spacing w:after="80" w:before="80"/>
      </w:pPr>
      <w:r>
        <w:rPr>
          <w:rFonts w:ascii="Arial" w:cs="Arial" w:eastAsia="Arial" w:hAnsi="Arial"/>
          <w:color w:val="1A1A1A"/>
          <w:sz w:val="22"/>
          <w:szCs w:val="22"/>
        </w:rPr>
        <w:t xml:space="preserve">The Vet Partner may not: submit false or misleading professional reports; backdate or falsify records; share User data unlawfully; solicit off-platform transactions using ANIMEX connections; misuse the ANIMEX brand or Vet Partner designation; or provide services that conflict with SAVC professional rules or the Veterinary Professions Act.</w:t>
      </w:r>
    </w:p>
    <w:p>
      <w:pPr>
        <w:pStyle w:val="Heading2"/>
        <w:spacing w:after="120" w:before="280"/>
      </w:pPr>
      <w:r>
        <w:rPr>
          <w:rFonts w:ascii="Arial" w:cs="Arial" w:eastAsia="Arial" w:hAnsi="Arial"/>
          <w:b/>
          <w:bCs/>
          <w:color w:val="1A1A1A"/>
          <w:sz w:val="26"/>
          <w:szCs w:val="26"/>
        </w:rPr>
        <w:t xml:space="preserve">4.8  Fees</w:t>
      </w:r>
    </w:p>
    <w:p>
      <w:pPr>
        <w:spacing w:after="80" w:before="80"/>
      </w:pPr>
      <w:r>
        <w:rPr>
          <w:rFonts w:ascii="Arial" w:cs="Arial" w:eastAsia="Arial" w:hAnsi="Arial"/>
          <w:color w:val="1A1A1A"/>
          <w:sz w:val="22"/>
          <w:szCs w:val="22"/>
        </w:rPr>
        <w:t xml:space="preserve">Fees for Vet Partner services are as agreed in writing or displayed on the Platform. ANIMEX may deduct applicable platform or service fees. ANIMEX does not fix the Vet Partner's professional fee for clinical services.</w:t>
      </w:r>
    </w:p>
    <w:p>
      <w:pPr>
        <w:pStyle w:val="Heading2"/>
        <w:spacing w:after="120" w:before="280"/>
      </w:pPr>
      <w:r>
        <w:rPr>
          <w:rFonts w:ascii="Arial" w:cs="Arial" w:eastAsia="Arial" w:hAnsi="Arial"/>
          <w:b/>
          <w:bCs/>
          <w:color w:val="1A1A1A"/>
          <w:sz w:val="26"/>
          <w:szCs w:val="26"/>
        </w:rPr>
        <w:t xml:space="preserve">4.9  Liability</w:t>
      </w:r>
    </w:p>
    <w:p>
      <w:pPr>
        <w:spacing w:after="80" w:before="80"/>
      </w:pPr>
      <w:r>
        <w:rPr>
          <w:rFonts w:ascii="Arial" w:cs="Arial" w:eastAsia="Arial" w:hAnsi="Arial"/>
          <w:color w:val="1A1A1A"/>
          <w:sz w:val="22"/>
          <w:szCs w:val="22"/>
        </w:rPr>
        <w:t xml:space="preserve">The Vet Partner is solely responsible for the accuracy and professional quality of all veterinary documentation, assessments, and opinions. The Vet Partner indemnifies ANIMEX against any claim arising from the Vet Partner's professional conduct, documentation errors, conflicts of interest, or omissions.</w:t>
      </w:r>
    </w:p>
    <w:p>
      <w:pPr>
        <w:pStyle w:val="Heading2"/>
        <w:spacing w:after="120" w:before="280"/>
      </w:pPr>
      <w:r>
        <w:rPr>
          <w:rFonts w:ascii="Arial" w:cs="Arial" w:eastAsia="Arial" w:hAnsi="Arial"/>
          <w:b/>
          <w:bCs/>
          <w:color w:val="1A1A1A"/>
          <w:sz w:val="26"/>
          <w:szCs w:val="26"/>
        </w:rPr>
        <w:t xml:space="preserve">4.10  No Emergency Care Guarantee</w:t>
      </w:r>
    </w:p>
    <w:p>
      <w:pPr>
        <w:spacing w:after="80" w:before="80"/>
      </w:pPr>
      <w:r>
        <w:rPr>
          <w:rFonts w:ascii="Arial" w:cs="Arial" w:eastAsia="Arial" w:hAnsi="Arial"/>
          <w:color w:val="1A1A1A"/>
          <w:sz w:val="22"/>
          <w:szCs w:val="22"/>
        </w:rPr>
        <w:t xml:space="preserve">Use of the Platform does not create an emergency veterinary service. Users must seek immediate veterinary care directly from any registered veterinarian in emergencies. ANIMEX accepts no liability for delayed Animal care arising from reliance on Platform messaging or support.</w:t>
      </w:r>
    </w:p>
    <w:p>
      <w:pPr>
        <w:pStyle w:val="Heading2"/>
        <w:spacing w:after="120" w:before="280"/>
      </w:pPr>
      <w:r>
        <w:rPr>
          <w:rFonts w:ascii="Arial" w:cs="Arial" w:eastAsia="Arial" w:hAnsi="Arial"/>
          <w:b/>
          <w:bCs/>
          <w:color w:val="1A1A1A"/>
          <w:sz w:val="26"/>
          <w:szCs w:val="26"/>
        </w:rPr>
        <w:t xml:space="preserve">4.11  Term and Termination</w:t>
      </w:r>
    </w:p>
    <w:p>
      <w:pPr>
        <w:spacing w:after="80" w:before="80"/>
      </w:pPr>
      <w:r>
        <w:rPr>
          <w:rFonts w:ascii="Arial" w:cs="Arial" w:eastAsia="Arial" w:hAnsi="Arial"/>
          <w:color w:val="1A1A1A"/>
          <w:sz w:val="22"/>
          <w:szCs w:val="22"/>
        </w:rPr>
        <w:t xml:space="preserve">This Agreement continues while the Vet Partner maintains valid SAVC registration. Either party may terminate on 10 (ten) business days' written notice. ANIMEX may terminate immediately for loss of SAVC registration, confirmed false documentation, undisclosed conflicts of interest, data protection breach, or professional misconduct.</w:t>
      </w:r>
    </w:p>
    <w:p>
      <w:pPr>
        <w:pStyle w:val="Heading2"/>
        <w:spacing w:after="120" w:before="280"/>
      </w:pPr>
      <w:r>
        <w:rPr>
          <w:rFonts w:ascii="Arial" w:cs="Arial" w:eastAsia="Arial" w:hAnsi="Arial"/>
          <w:b/>
          <w:bCs/>
          <w:color w:val="1A1A1A"/>
          <w:sz w:val="26"/>
          <w:szCs w:val="26"/>
        </w:rPr>
        <w:t xml:space="preserve">4.12  Governing Law</w:t>
      </w:r>
    </w:p>
    <w:p>
      <w:pPr>
        <w:spacing w:after="80" w:before="80"/>
      </w:pPr>
      <w:r>
        <w:rPr>
          <w:rFonts w:ascii="Arial" w:cs="Arial" w:eastAsia="Arial" w:hAnsi="Arial"/>
          <w:color w:val="1A1A1A"/>
          <w:sz w:val="22"/>
          <w:szCs w:val="22"/>
        </w:rPr>
        <w:t xml:space="preserve">Governed by South African law.</w:t>
      </w:r>
    </w:p>
    <w:p>
      <w:pPr>
        <w:pStyle w:val="Heading2"/>
        <w:spacing w:after="120" w:before="280"/>
      </w:pPr>
      <w:r>
        <w:rPr>
          <w:rFonts w:ascii="Arial" w:cs="Arial" w:eastAsia="Arial" w:hAnsi="Arial"/>
          <w:b/>
          <w:bCs/>
          <w:color w:val="1A1A1A"/>
          <w:sz w:val="26"/>
          <w:szCs w:val="26"/>
        </w:rPr>
        <w:t xml:space="preserve">4.13  Execution</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Vet Partner (SAVC Registration Number: ___________________):</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Mutual Non-Disclosure Agreement</w:t>
      </w:r>
    </w:p>
    <w:p>
      <w:pPr>
        <w:spacing w:after="80" w:before="80"/>
      </w:pPr>
      <w:r>
        <w:rPr>
          <w:rFonts w:ascii="Arial" w:cs="Arial" w:eastAsia="Arial" w:hAnsi="Arial"/>
          <w:color w:val="1A1A1A"/>
          <w:sz w:val="22"/>
          <w:szCs w:val="22"/>
        </w:rPr>
        <w:t xml:space="preserve">This Mutual Non-Disclosure Agreement ("Agreement") is entered into between:</w:t>
      </w:r>
    </w:p>
    <w:p>
      <w:pPr>
        <w:spacing w:after="80" w:before="80"/>
      </w:pPr>
      <w:r>
        <w:rPr>
          <w:rFonts w:ascii="Arial" w:cs="Arial" w:eastAsia="Arial" w:hAnsi="Arial"/>
          <w:color w:val="1A1A1A"/>
          <w:sz w:val="22"/>
          <w:szCs w:val="22"/>
        </w:rPr>
        <w:t>Party A:  ANIMEX (Pty) Ltd ("ANIMEX"), registration number 2026/171061/07, 37 8th Avenue, Houghton, Gauteng, 2198, South Africa.</w:t>
      </w:r>
    </w:p>
    <w:p>
      <w:pPr>
        <w:spacing w:after="80" w:before="80"/>
      </w:pPr>
      <w:r>
        <w:rPr>
          <w:rFonts w:ascii="Arial" w:cs="Arial" w:eastAsia="Arial" w:hAnsi="Arial"/>
          <w:color w:val="1A1A1A"/>
          <w:sz w:val="22"/>
          <w:szCs w:val="22"/>
        </w:rPr>
        <w:t>Party B:  TEMPLATE FIELD: counterparty full legal name, TEMPLATE FIELD: counterparty ID number or registration number, TEMPLATE FIELD: counterparty registered address ("Counterparty").</w:t>
      </w:r>
    </w:p>
    <w:p>
      <w:pPr>
        <w:spacing w:after="80" w:before="80"/>
      </w:pPr>
      <w:r>
        <w:rPr>
          <w:rFonts w:ascii="Arial" w:cs="Arial" w:eastAsia="Arial" w:hAnsi="Arial"/>
          <w:color w:val="1A1A1A"/>
          <w:sz w:val="22"/>
          <w:szCs w:val="22"/>
        </w:rPr>
        <w:t>The parties wish to share information for the following purpose:  TEMPLATE FIELD: describe the NDA purpose (the "Purpose").</w:t>
      </w:r>
    </w:p>
    <w:p>
      <w:pPr>
        <w:pStyle w:val="Heading2"/>
        <w:spacing w:after="120" w:before="280"/>
      </w:pPr>
      <w:r>
        <w:rPr>
          <w:rFonts w:ascii="Arial" w:cs="Arial" w:eastAsia="Arial" w:hAnsi="Arial"/>
          <w:b/>
          <w:bCs/>
          <w:color w:val="1A1A1A"/>
          <w:sz w:val="26"/>
          <w:szCs w:val="26"/>
        </w:rPr>
        <w:t xml:space="preserve">5.1  Definition of Confidential Information</w:t>
      </w:r>
    </w:p>
    <w:p>
      <w:pPr>
        <w:spacing w:after="80" w:before="80"/>
      </w:pPr>
      <w:r>
        <w:rPr>
          <w:rFonts w:ascii="Arial" w:cs="Arial" w:eastAsia="Arial" w:hAnsi="Arial"/>
          <w:color w:val="1A1A1A"/>
          <w:sz w:val="22"/>
          <w:szCs w:val="22"/>
        </w:rPr>
        <w:t xml:space="preserve">"Confidential Information" means all non-public information disclosed by either party to the other in connection with the Purpose, whether disclosed in writing, electronically, verbally, or by any other means, and whether or not marked as confidential, including:</w:t>
      </w:r>
    </w:p>
    <w:p>
      <w:pPr>
        <w:pStyle w:val="ListParagraph"/>
        <w:numPr>
          <w:ilvl w:val="0"/>
          <w:numId w:val="2"/>
        </w:numPr>
        <w:spacing w:after="40" w:before="40"/>
      </w:pPr>
      <w:r>
        <w:rPr>
          <w:rFonts w:ascii="Arial" w:cs="Arial" w:eastAsia="Arial" w:hAnsi="Arial"/>
          <w:color w:val="1A1A1A"/>
          <w:sz w:val="22"/>
          <w:szCs w:val="22"/>
        </w:rPr>
        <w:t xml:space="preserve">business plans, strategies, financial projections, and investor materials;</w:t>
      </w:r>
    </w:p>
    <w:p>
      <w:pPr>
        <w:pStyle w:val="ListParagraph"/>
        <w:numPr>
          <w:ilvl w:val="0"/>
          <w:numId w:val="2"/>
        </w:numPr>
        <w:spacing w:after="40" w:before="40"/>
      </w:pPr>
      <w:r>
        <w:rPr>
          <w:rFonts w:ascii="Arial" w:cs="Arial" w:eastAsia="Arial" w:hAnsi="Arial"/>
          <w:color w:val="1A1A1A"/>
          <w:sz w:val="22"/>
          <w:szCs w:val="22"/>
        </w:rPr>
        <w:t xml:space="preserve">product roadmaps, technology architecture, source code, algorithms, and system designs;</w:t>
      </w:r>
    </w:p>
    <w:p>
      <w:pPr>
        <w:pStyle w:val="ListParagraph"/>
        <w:numPr>
          <w:ilvl w:val="0"/>
          <w:numId w:val="2"/>
        </w:numPr>
        <w:spacing w:after="40" w:before="40"/>
      </w:pPr>
      <w:r>
        <w:rPr>
          <w:rFonts w:ascii="Arial" w:cs="Arial" w:eastAsia="Arial" w:hAnsi="Arial"/>
          <w:color w:val="1A1A1A"/>
          <w:sz w:val="22"/>
          <w:szCs w:val="22"/>
        </w:rPr>
        <w:t xml:space="preserve">User data, platform metrics, analytics, and operational data;</w:t>
      </w:r>
    </w:p>
    <w:p>
      <w:pPr>
        <w:pStyle w:val="ListParagraph"/>
        <w:numPr>
          <w:ilvl w:val="0"/>
          <w:numId w:val="2"/>
        </w:numPr>
        <w:spacing w:after="40" w:before="40"/>
      </w:pPr>
      <w:r>
        <w:rPr>
          <w:rFonts w:ascii="Arial" w:cs="Arial" w:eastAsia="Arial" w:hAnsi="Arial"/>
          <w:color w:val="1A1A1A"/>
          <w:sz w:val="22"/>
          <w:szCs w:val="22"/>
        </w:rPr>
        <w:t xml:space="preserve">pricing models, fee structures, and commercial terms;</w:t>
      </w:r>
    </w:p>
    <w:p>
      <w:pPr>
        <w:pStyle w:val="ListParagraph"/>
        <w:numPr>
          <w:ilvl w:val="0"/>
          <w:numId w:val="2"/>
        </w:numPr>
        <w:spacing w:after="40" w:before="40"/>
      </w:pPr>
      <w:r>
        <w:rPr>
          <w:rFonts w:ascii="Arial" w:cs="Arial" w:eastAsia="Arial" w:hAnsi="Arial"/>
          <w:color w:val="1A1A1A"/>
          <w:sz w:val="22"/>
          <w:szCs w:val="22"/>
        </w:rPr>
        <w:t xml:space="preserve">legal documents, contracts, compliance materials, and risk frameworks;</w:t>
      </w:r>
    </w:p>
    <w:p>
      <w:pPr>
        <w:pStyle w:val="ListParagraph"/>
        <w:numPr>
          <w:ilvl w:val="0"/>
          <w:numId w:val="2"/>
        </w:numPr>
        <w:spacing w:after="40" w:before="40"/>
      </w:pPr>
      <w:r>
        <w:rPr>
          <w:rFonts w:ascii="Arial" w:cs="Arial" w:eastAsia="Arial" w:hAnsi="Arial"/>
          <w:color w:val="1A1A1A"/>
          <w:sz w:val="22"/>
          <w:szCs w:val="22"/>
        </w:rPr>
        <w:t xml:space="preserve">trade secrets, know-how, proprietary methods, and security information;</w:t>
      </w:r>
    </w:p>
    <w:p>
      <w:pPr>
        <w:pStyle w:val="ListParagraph"/>
        <w:numPr>
          <w:ilvl w:val="0"/>
          <w:numId w:val="2"/>
        </w:numPr>
        <w:spacing w:after="40" w:before="40"/>
      </w:pPr>
      <w:r>
        <w:rPr>
          <w:rFonts w:ascii="Arial" w:cs="Arial" w:eastAsia="Arial" w:hAnsi="Arial"/>
          <w:color w:val="1A1A1A"/>
          <w:sz w:val="22"/>
          <w:szCs w:val="22"/>
        </w:rPr>
        <w:t xml:space="preserve">any information that a reasonable person would consider confidential in the circumstances.</w:t>
      </w:r>
    </w:p>
    <w:p>
      <w:pPr>
        <w:spacing w:after="80" w:before="80"/>
      </w:pPr>
      <w:r>
        <w:rPr>
          <w:rFonts w:ascii="Arial" w:cs="Arial" w:eastAsia="Arial" w:hAnsi="Arial"/>
          <w:color w:val="1A1A1A"/>
          <w:sz w:val="22"/>
          <w:szCs w:val="22"/>
        </w:rPr>
        <w:t xml:space="preserve">Confidential Information does not include information that: (a) is or becomes public through no breach of this Agreement; (b) was already lawfully known to the receiving party before disclosure; (c) is independently developed by the receiving party without use of Confidential Information; or (d) is received lawfully from a third party without confidentiality obligation.</w:t>
      </w:r>
    </w:p>
    <w:p>
      <w:pPr>
        <w:pStyle w:val="Heading2"/>
        <w:spacing w:after="120" w:before="280"/>
      </w:pPr>
      <w:r>
        <w:rPr>
          <w:rFonts w:ascii="Arial" w:cs="Arial" w:eastAsia="Arial" w:hAnsi="Arial"/>
          <w:b/>
          <w:bCs/>
          <w:color w:val="1A1A1A"/>
          <w:sz w:val="26"/>
          <w:szCs w:val="26"/>
        </w:rPr>
        <w:t xml:space="preserve">5.2  Obligations of Each Receiving Party</w:t>
      </w:r>
    </w:p>
    <w:p>
      <w:pPr>
        <w:spacing w:after="80" w:before="80"/>
      </w:pPr>
      <w:r>
        <w:rPr>
          <w:rFonts w:ascii="Arial" w:cs="Arial" w:eastAsia="Arial" w:hAnsi="Arial"/>
          <w:color w:val="1A1A1A"/>
          <w:sz w:val="22"/>
          <w:szCs w:val="22"/>
        </w:rPr>
        <w:t xml:space="preserve">Each receiving party must:</w:t>
      </w:r>
    </w:p>
    <w:p>
      <w:pPr>
        <w:pStyle w:val="ListParagraph"/>
        <w:numPr>
          <w:ilvl w:val="0"/>
          <w:numId w:val="2"/>
        </w:numPr>
        <w:spacing w:after="40" w:before="40"/>
      </w:pPr>
      <w:r>
        <w:rPr>
          <w:rFonts w:ascii="Arial" w:cs="Arial" w:eastAsia="Arial" w:hAnsi="Arial"/>
          <w:color w:val="1A1A1A"/>
          <w:sz w:val="22"/>
          <w:szCs w:val="22"/>
        </w:rPr>
        <w:t xml:space="preserve">keep all Confidential Information strictly confidential;</w:t>
      </w:r>
    </w:p>
    <w:p>
      <w:pPr>
        <w:pStyle w:val="ListParagraph"/>
        <w:numPr>
          <w:ilvl w:val="0"/>
          <w:numId w:val="2"/>
        </w:numPr>
        <w:spacing w:after="40" w:before="40"/>
      </w:pPr>
      <w:r>
        <w:rPr>
          <w:rFonts w:ascii="Arial" w:cs="Arial" w:eastAsia="Arial" w:hAnsi="Arial"/>
          <w:color w:val="1A1A1A"/>
          <w:sz w:val="22"/>
          <w:szCs w:val="22"/>
        </w:rPr>
        <w:t xml:space="preserve">use it only for the Purpose and not for any other purpose;</w:t>
      </w:r>
    </w:p>
    <w:p>
      <w:pPr>
        <w:pStyle w:val="ListParagraph"/>
        <w:numPr>
          <w:ilvl w:val="0"/>
          <w:numId w:val="2"/>
        </w:numPr>
        <w:spacing w:after="40" w:before="40"/>
      </w:pPr>
      <w:r>
        <w:rPr>
          <w:rFonts w:ascii="Arial" w:cs="Arial" w:eastAsia="Arial" w:hAnsi="Arial"/>
          <w:color w:val="1A1A1A"/>
          <w:sz w:val="22"/>
          <w:szCs w:val="22"/>
        </w:rPr>
        <w:t xml:space="preserve">not disclose it to any third party without the disclosing party's prior written consent;</w:t>
      </w:r>
    </w:p>
    <w:p>
      <w:pPr>
        <w:pStyle w:val="ListParagraph"/>
        <w:numPr>
          <w:ilvl w:val="0"/>
          <w:numId w:val="2"/>
        </w:numPr>
        <w:spacing w:after="40" w:before="40"/>
      </w:pPr>
      <w:r>
        <w:rPr>
          <w:rFonts w:ascii="Arial" w:cs="Arial" w:eastAsia="Arial" w:hAnsi="Arial"/>
          <w:color w:val="1A1A1A"/>
          <w:sz w:val="22"/>
          <w:szCs w:val="22"/>
        </w:rPr>
        <w:t xml:space="preserve">apply at least the same standard of care as applied to its own confidential information, and in no case less than reasonable care;</w:t>
      </w:r>
    </w:p>
    <w:p>
      <w:pPr>
        <w:pStyle w:val="ListParagraph"/>
        <w:numPr>
          <w:ilvl w:val="0"/>
          <w:numId w:val="2"/>
        </w:numPr>
        <w:spacing w:after="40" w:before="40"/>
      </w:pPr>
      <w:r>
        <w:rPr>
          <w:rFonts w:ascii="Arial" w:cs="Arial" w:eastAsia="Arial" w:hAnsi="Arial"/>
          <w:color w:val="1A1A1A"/>
          <w:sz w:val="22"/>
          <w:szCs w:val="22"/>
        </w:rPr>
        <w:t xml:space="preserve">restrict access to employees, directors, contractors, legal advisers, and accountants who need it for the Purpose and are bound by equivalent confidentiality obligations.</w:t>
      </w:r>
    </w:p>
    <w:p>
      <w:pPr>
        <w:pStyle w:val="Heading2"/>
        <w:spacing w:after="120" w:before="280"/>
      </w:pPr>
      <w:r>
        <w:rPr>
          <w:rFonts w:ascii="Arial" w:cs="Arial" w:eastAsia="Arial" w:hAnsi="Arial"/>
          <w:b/>
          <w:bCs/>
          <w:color w:val="1A1A1A"/>
          <w:sz w:val="26"/>
          <w:szCs w:val="26"/>
        </w:rPr>
        <w:t xml:space="preserve">5.3  Permitted Disclosures</w:t>
      </w:r>
    </w:p>
    <w:p>
      <w:pPr>
        <w:spacing w:after="80" w:before="80"/>
      </w:pPr>
      <w:r>
        <w:rPr>
          <w:rFonts w:ascii="Arial" w:cs="Arial" w:eastAsia="Arial" w:hAnsi="Arial"/>
          <w:color w:val="1A1A1A"/>
          <w:sz w:val="22"/>
          <w:szCs w:val="22"/>
        </w:rPr>
        <w:t xml:space="preserve">Disclosure is permitted to legal advisers, accountants, auditors, investors, employees, contractors, regulators, courts, or law enforcement where required by law or regulation, provided the receiving party:</w:t>
      </w:r>
    </w:p>
    <w:p>
      <w:pPr>
        <w:pStyle w:val="ListParagraph"/>
        <w:numPr>
          <w:ilvl w:val="0"/>
          <w:numId w:val="2"/>
        </w:numPr>
        <w:spacing w:after="40" w:before="40"/>
      </w:pPr>
      <w:r>
        <w:rPr>
          <w:rFonts w:ascii="Arial" w:cs="Arial" w:eastAsia="Arial" w:hAnsi="Arial"/>
          <w:color w:val="1A1A1A"/>
          <w:sz w:val="22"/>
          <w:szCs w:val="22"/>
        </w:rPr>
        <w:t xml:space="preserve">provides the disclosing party with prompt prior written notice where lawfully permitted; and</w:t>
      </w:r>
    </w:p>
    <w:p>
      <w:pPr>
        <w:pStyle w:val="ListParagraph"/>
        <w:numPr>
          <w:ilvl w:val="0"/>
          <w:numId w:val="2"/>
        </w:numPr>
        <w:spacing w:after="40" w:before="40"/>
      </w:pPr>
      <w:r>
        <w:rPr>
          <w:rFonts w:ascii="Arial" w:cs="Arial" w:eastAsia="Arial" w:hAnsi="Arial"/>
          <w:color w:val="1A1A1A"/>
          <w:sz w:val="22"/>
          <w:szCs w:val="22"/>
        </w:rPr>
        <w:t xml:space="preserve">uses reasonable steps to obtain confidential treatment or a protective order.</w:t>
      </w:r>
    </w:p>
    <w:p>
      <w:pPr>
        <w:pStyle w:val="Heading2"/>
        <w:spacing w:after="120" w:before="280"/>
      </w:pPr>
      <w:r>
        <w:rPr>
          <w:rFonts w:ascii="Arial" w:cs="Arial" w:eastAsia="Arial" w:hAnsi="Arial"/>
          <w:b/>
          <w:bCs/>
          <w:color w:val="1A1A1A"/>
          <w:sz w:val="26"/>
          <w:szCs w:val="26"/>
        </w:rPr>
        <w:t xml:space="preserve">5.4  Data Protection</w:t>
      </w:r>
    </w:p>
    <w:p>
      <w:pPr>
        <w:spacing w:after="80" w:before="80"/>
      </w:pPr>
      <w:r>
        <w:rPr>
          <w:rFonts w:ascii="Arial" w:cs="Arial" w:eastAsia="Arial" w:hAnsi="Arial"/>
          <w:color w:val="1A1A1A"/>
          <w:sz w:val="22"/>
          <w:szCs w:val="22"/>
        </w:rPr>
        <w:t xml:space="preserve">If Confidential Information includes personal information as defined in POPIA, the receiving party must process it lawfully, only for the permitted Purpose, and with appropriate security measures, in compliance with POPIA.</w:t>
      </w:r>
    </w:p>
    <w:p>
      <w:pPr>
        <w:pStyle w:val="Heading2"/>
        <w:spacing w:after="120" w:before="280"/>
      </w:pPr>
      <w:r>
        <w:rPr>
          <w:rFonts w:ascii="Arial" w:cs="Arial" w:eastAsia="Arial" w:hAnsi="Arial"/>
          <w:b/>
          <w:bCs/>
          <w:color w:val="1A1A1A"/>
          <w:sz w:val="26"/>
          <w:szCs w:val="26"/>
        </w:rPr>
        <w:t xml:space="preserve">5.5  Return or Destruction</w:t>
      </w:r>
    </w:p>
    <w:p>
      <w:pPr>
        <w:spacing w:after="80" w:before="80"/>
      </w:pPr>
      <w:r>
        <w:rPr>
          <w:rFonts w:ascii="Arial" w:cs="Arial" w:eastAsia="Arial" w:hAnsi="Arial"/>
          <w:color w:val="1A1A1A"/>
          <w:sz w:val="22"/>
          <w:szCs w:val="22"/>
        </w:rPr>
        <w:t xml:space="preserve">On request, or upon expiry or termination of the Purpose, the receiving party must promptly return or securely destroy all Confidential Information, except for archival copies retained by legal or professional obligation, backup systems, or insurance requirements, which remain subject to the confidentiality obligations for their duration.</w:t>
      </w:r>
    </w:p>
    <w:p>
      <w:pPr>
        <w:pStyle w:val="Heading2"/>
        <w:spacing w:after="120" w:before="280"/>
      </w:pPr>
      <w:r>
        <w:rPr>
          <w:rFonts w:ascii="Arial" w:cs="Arial" w:eastAsia="Arial" w:hAnsi="Arial"/>
          <w:b/>
          <w:bCs/>
          <w:color w:val="1A1A1A"/>
          <w:sz w:val="26"/>
          <w:szCs w:val="26"/>
        </w:rPr>
        <w:t xml:space="preserve">5.6  Term</w:t>
      </w:r>
    </w:p>
    <w:p>
      <w:pPr>
        <w:spacing w:after="80" w:before="80"/>
      </w:pPr>
      <w:r>
        <w:rPr>
          <w:rFonts w:ascii="Arial" w:cs="Arial" w:eastAsia="Arial" w:hAnsi="Arial"/>
          <w:color w:val="1A1A1A"/>
          <w:sz w:val="22"/>
          <w:szCs w:val="22"/>
        </w:rPr>
        <w:t xml:space="preserve">This Agreement takes effect on the date of last signature and continues for 5 (five) years. Confidentiality obligations for trade secrets, security information, source code, and personal information continue for as long as the information remains confidential or is legally protected, regardless of the 5-year term.</w:t>
      </w:r>
    </w:p>
    <w:p>
      <w:pPr>
        <w:pStyle w:val="Heading2"/>
        <w:spacing w:after="120" w:before="280"/>
      </w:pPr>
      <w:r>
        <w:rPr>
          <w:rFonts w:ascii="Arial" w:cs="Arial" w:eastAsia="Arial" w:hAnsi="Arial"/>
          <w:b/>
          <w:bCs/>
          <w:color w:val="1A1A1A"/>
          <w:sz w:val="26"/>
          <w:szCs w:val="26"/>
        </w:rPr>
        <w:t xml:space="preserve">5.7  No Licence</w:t>
      </w:r>
    </w:p>
    <w:p>
      <w:pPr>
        <w:spacing w:after="80" w:before="80"/>
      </w:pPr>
      <w:r>
        <w:rPr>
          <w:rFonts w:ascii="Arial" w:cs="Arial" w:eastAsia="Arial" w:hAnsi="Arial"/>
          <w:color w:val="1A1A1A"/>
          <w:sz w:val="22"/>
          <w:szCs w:val="22"/>
        </w:rPr>
        <w:t xml:space="preserve">No intellectual property rights, licences, or interests are transferred by this Agreement. Nothing in this Agreement obliges either party to enter into any further agreement.</w:t>
      </w:r>
    </w:p>
    <w:p>
      <w:pPr>
        <w:pStyle w:val="Heading2"/>
        <w:spacing w:after="120" w:before="280"/>
      </w:pPr>
      <w:r>
        <w:rPr>
          <w:rFonts w:ascii="Arial" w:cs="Arial" w:eastAsia="Arial" w:hAnsi="Arial"/>
          <w:b/>
          <w:bCs/>
          <w:color w:val="1A1A1A"/>
          <w:sz w:val="26"/>
          <w:szCs w:val="26"/>
        </w:rPr>
        <w:t xml:space="preserve">5.8  Remedies</w:t>
      </w:r>
    </w:p>
    <w:p>
      <w:pPr>
        <w:spacing w:after="80" w:before="80"/>
      </w:pPr>
      <w:r>
        <w:rPr>
          <w:rFonts w:ascii="Arial" w:cs="Arial" w:eastAsia="Arial" w:hAnsi="Arial"/>
          <w:color w:val="1A1A1A"/>
          <w:sz w:val="22"/>
          <w:szCs w:val="22"/>
        </w:rPr>
        <w:t xml:space="preserve">Each party acknowledges that unauthorised disclosure would cause irreparable harm for which monetary damages are an insufficient remedy. The disclosing party may seek urgent interdict relief, specific performance, damages, and recovery of legal costs on an attorney-and-own-client scale for any breach.</w:t>
      </w:r>
    </w:p>
    <w:p>
      <w:pPr>
        <w:pStyle w:val="Heading2"/>
        <w:spacing w:after="120" w:before="280"/>
      </w:pPr>
      <w:r>
        <w:rPr>
          <w:rFonts w:ascii="Arial" w:cs="Arial" w:eastAsia="Arial" w:hAnsi="Arial"/>
          <w:b/>
          <w:bCs/>
          <w:color w:val="1A1A1A"/>
          <w:sz w:val="26"/>
          <w:szCs w:val="26"/>
        </w:rPr>
        <w:t xml:space="preserve">5.9  Governing Law</w:t>
      </w:r>
    </w:p>
    <w:p>
      <w:pPr>
        <w:spacing w:after="80" w:before="80"/>
      </w:pPr>
      <w:r>
        <w:rPr>
          <w:rFonts w:ascii="Arial" w:cs="Arial" w:eastAsia="Arial" w:hAnsi="Arial"/>
          <w:color w:val="1A1A1A"/>
          <w:sz w:val="22"/>
          <w:szCs w:val="22"/>
        </w:rPr>
        <w:t xml:space="preserve">This Agreement is governed by South African law and the parties submit to the jurisdiction of the South Gauteng High Court (Johannesburg).</w:t>
      </w:r>
    </w:p>
    <w:p>
      <w:pPr>
        <w:pStyle w:val="Heading2"/>
        <w:spacing w:after="120" w:before="280"/>
      </w:pPr>
      <w:r>
        <w:rPr>
          <w:rFonts w:ascii="Arial" w:cs="Arial" w:eastAsia="Arial" w:hAnsi="Arial"/>
          <w:b/>
          <w:bCs/>
          <w:color w:val="1A1A1A"/>
          <w:sz w:val="26"/>
          <w:szCs w:val="26"/>
        </w:rPr>
        <w:t xml:space="preserve">5.10  Execution</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Counterparty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Agreements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legal review before execution.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contractual onboarding</w:t>
      </w:r>
    </w:p>
    <w:p>
      <w:r>
        <w:rPr>
          <w:b/>
          <w:sz w:val="26"/>
        </w:rPr>
        <w:t>Webapp alignment - contractual onboarding</w:t>
      </w:r>
    </w:p>
    <w:p>
      <w:r>
        <w:t>- Seller, Welfare Partner, Verified Breeder, and Vet Partner obligations align to the app onboarding and verification areas: dashboard verification, organisation portal, Control Room verification, authorised sellers, and policy/terms versioning.</w:t>
      </w:r>
    </w:p>
    <w:p>
      <w:r>
        <w:t>- Seller appointment of ANIMEX as Collection Agent is limited to each accepted Secure Checkout transaction until final settlement, refund, reversal, chargeback resolution, or dispute closure. This avoids implying a standing trust, escrow, or fiduciary account.</w:t>
      </w:r>
    </w:p>
    <w:p>
      <w:r>
        <w:t>- Tax, VAT, and merchant/supplier responsibilities remain with the Seller for the underlying animal sale. ANIMEX recognises and taxes its own platform fees separately, subject to accountant confirmation.</w:t>
      </w:r>
    </w:p>
    <w:p>
      <w:r>
        <w:t>- No counterparty names, addresses, salary/payment schedules, or partner-specific terms were present in the app ZIP; signature schedules and counterparty fields remain template fields to be completed per party.</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2026-05-04T21:05:07.978Z</dcterms:created>
  <dcterms:modified xsi:type="dcterms:W3CDTF">2026-05-04T21:05:07.979Z</dcterms:modified>
  <dc:title>ANIMEX Agreements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